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0BF" w:rsidRPr="0040339E" w:rsidRDefault="00A900BF" w:rsidP="00A900BF">
      <w:pPr>
        <w:tabs>
          <w:tab w:val="left" w:pos="382"/>
        </w:tabs>
        <w:spacing w:after="120" w:line="240" w:lineRule="auto"/>
        <w:ind w:firstLine="567"/>
        <w:jc w:val="mediumKashida"/>
        <w:rPr>
          <w:rFonts w:ascii="Times New Roman" w:eastAsia="Times New Roman" w:hAnsi="Times New Roman" w:cs="Simplified Arabic" w:hint="cs"/>
          <w:b/>
          <w:bCs/>
          <w:sz w:val="24"/>
          <w:szCs w:val="24"/>
          <w:rtl/>
        </w:rPr>
      </w:pPr>
      <w:bookmarkStart w:id="0" w:name="_GoBack"/>
      <w:bookmarkEnd w:id="0"/>
    </w:p>
    <w:p w:rsidR="00A900BF" w:rsidRPr="0040339E" w:rsidRDefault="00A900BF" w:rsidP="00A900BF">
      <w:pPr>
        <w:tabs>
          <w:tab w:val="left" w:pos="382"/>
        </w:tabs>
        <w:spacing w:after="120" w:line="240" w:lineRule="auto"/>
        <w:ind w:firstLine="567"/>
        <w:jc w:val="mediumKashida"/>
        <w:rPr>
          <w:rFonts w:ascii="Times New Roman" w:eastAsia="Times New Roman" w:hAnsi="Times New Roman" w:cs="Simplified Arabic"/>
          <w:b/>
          <w:bCs/>
          <w:sz w:val="24"/>
          <w:szCs w:val="24"/>
          <w:rtl/>
        </w:rPr>
      </w:pPr>
    </w:p>
    <w:p w:rsidR="001B28C7" w:rsidRPr="00236FEE" w:rsidRDefault="001B28C7" w:rsidP="001B28C7">
      <w:pPr>
        <w:spacing w:after="120" w:line="240" w:lineRule="auto"/>
        <w:ind w:firstLine="567"/>
        <w:jc w:val="mediumKashida"/>
        <w:rPr>
          <w:rFonts w:ascii="Simplified Arabic" w:hAnsi="Simplified Arabic" w:cs="Simplified Arabic"/>
          <w:b/>
          <w:bCs/>
          <w:sz w:val="24"/>
          <w:szCs w:val="24"/>
          <w:rtl/>
          <w:lang w:bidi="ar-IQ"/>
        </w:rPr>
      </w:pPr>
    </w:p>
    <w:p w:rsidR="001B28C7" w:rsidRPr="001B28C7" w:rsidRDefault="00661C3F" w:rsidP="001B28C7">
      <w:pPr>
        <w:spacing w:after="120"/>
        <w:ind w:firstLine="567"/>
        <w:jc w:val="center"/>
        <w:rPr>
          <w:rFonts w:ascii="Simplified Arabic" w:eastAsia="Calibri" w:hAnsi="Simplified Arabic" w:cs="PT Bold Heading"/>
          <w:b/>
          <w:bCs/>
          <w:sz w:val="40"/>
          <w:szCs w:val="40"/>
          <w:rtl/>
        </w:rPr>
      </w:pPr>
      <w:r>
        <w:rPr>
          <w:rFonts w:ascii="Simplified Arabic" w:eastAsia="Calibri" w:hAnsi="Simplified Arabic" w:cs="PT Bold Heading" w:hint="cs"/>
          <w:b/>
          <w:bCs/>
          <w:sz w:val="40"/>
          <w:szCs w:val="40"/>
          <w:rtl/>
        </w:rPr>
        <w:t>التحديات</w:t>
      </w:r>
      <w:r w:rsidR="001B28C7" w:rsidRPr="001B28C7">
        <w:rPr>
          <w:rFonts w:ascii="Simplified Arabic" w:eastAsia="Calibri" w:hAnsi="Simplified Arabic" w:cs="PT Bold Heading"/>
          <w:b/>
          <w:bCs/>
          <w:sz w:val="40"/>
          <w:szCs w:val="40"/>
          <w:rtl/>
        </w:rPr>
        <w:t xml:space="preserve"> الاقتصادية للأمن القومي الفلسطيني</w:t>
      </w:r>
    </w:p>
    <w:p w:rsidR="001B28C7" w:rsidRPr="001B28C7" w:rsidRDefault="001B28C7" w:rsidP="005366C2">
      <w:pPr>
        <w:spacing w:after="0" w:line="240" w:lineRule="auto"/>
        <w:ind w:firstLine="567"/>
        <w:jc w:val="right"/>
        <w:rPr>
          <w:rFonts w:ascii="Simplified Arabic" w:hAnsi="Simplified Arabic" w:cs="Simplified Arabic"/>
          <w:b/>
          <w:bCs/>
          <w:sz w:val="28"/>
          <w:szCs w:val="28"/>
          <w:rtl/>
          <w:lang w:bidi="ar-IQ"/>
        </w:rPr>
      </w:pPr>
      <w:proofErr w:type="spellStart"/>
      <w:r w:rsidRPr="001B28C7">
        <w:rPr>
          <w:rFonts w:ascii="Simplified Arabic" w:hAnsi="Simplified Arabic" w:cs="Simplified Arabic"/>
          <w:b/>
          <w:bCs/>
          <w:sz w:val="28"/>
          <w:szCs w:val="28"/>
          <w:rtl/>
          <w:lang w:bidi="ar-IQ"/>
        </w:rPr>
        <w:t>أ.رائــــــد</w:t>
      </w:r>
      <w:proofErr w:type="spellEnd"/>
      <w:r w:rsidRPr="001B28C7">
        <w:rPr>
          <w:rFonts w:ascii="Simplified Arabic" w:hAnsi="Simplified Arabic" w:cs="Simplified Arabic"/>
          <w:b/>
          <w:bCs/>
          <w:sz w:val="28"/>
          <w:szCs w:val="28"/>
          <w:rtl/>
          <w:lang w:bidi="ar-IQ"/>
        </w:rPr>
        <w:t xml:space="preserve"> محمد حلـــــــس </w:t>
      </w:r>
    </w:p>
    <w:p w:rsidR="001B28C7" w:rsidRPr="001B28C7" w:rsidRDefault="001B28C7" w:rsidP="005366C2">
      <w:pPr>
        <w:spacing w:after="0" w:line="240" w:lineRule="auto"/>
        <w:ind w:firstLine="567"/>
        <w:jc w:val="right"/>
        <w:rPr>
          <w:rFonts w:ascii="Simplified Arabic" w:hAnsi="Simplified Arabic" w:cs="Simplified Arabic"/>
          <w:b/>
          <w:bCs/>
          <w:sz w:val="28"/>
          <w:szCs w:val="28"/>
          <w:rtl/>
          <w:lang w:bidi="ar-IQ"/>
        </w:rPr>
      </w:pPr>
      <w:proofErr w:type="spellStart"/>
      <w:r w:rsidRPr="001B28C7">
        <w:rPr>
          <w:rFonts w:ascii="Simplified Arabic" w:hAnsi="Simplified Arabic" w:cs="Simplified Arabic"/>
          <w:b/>
          <w:bCs/>
          <w:sz w:val="28"/>
          <w:szCs w:val="28"/>
          <w:rtl/>
          <w:lang w:bidi="ar-IQ"/>
        </w:rPr>
        <w:t>أ.محمود</w:t>
      </w:r>
      <w:proofErr w:type="spellEnd"/>
      <w:r w:rsidRPr="001B28C7">
        <w:rPr>
          <w:rFonts w:ascii="Simplified Arabic" w:hAnsi="Simplified Arabic" w:cs="Simplified Arabic"/>
          <w:b/>
          <w:bCs/>
          <w:sz w:val="28"/>
          <w:szCs w:val="28"/>
          <w:rtl/>
          <w:lang w:bidi="ar-IQ"/>
        </w:rPr>
        <w:t xml:space="preserve"> حسين عيسى</w:t>
      </w:r>
    </w:p>
    <w:p w:rsidR="001B28C7" w:rsidRPr="00236FEE" w:rsidRDefault="001B28C7" w:rsidP="001B28C7">
      <w:pPr>
        <w:spacing w:after="120" w:line="240" w:lineRule="auto"/>
        <w:ind w:firstLine="567"/>
        <w:jc w:val="mediumKashida"/>
        <w:rPr>
          <w:rFonts w:ascii="Simplified Arabic" w:hAnsi="Simplified Arabic" w:cs="Simplified Arabic"/>
          <w:b/>
          <w:bCs/>
          <w:sz w:val="24"/>
          <w:szCs w:val="24"/>
          <w:rtl/>
          <w:lang w:bidi="ar-IQ"/>
        </w:rPr>
      </w:pPr>
    </w:p>
    <w:p w:rsidR="001B28C7" w:rsidRPr="00236FEE" w:rsidRDefault="001B28C7" w:rsidP="00624491">
      <w:pPr>
        <w:spacing w:after="120" w:line="240" w:lineRule="auto"/>
        <w:ind w:firstLine="567"/>
        <w:jc w:val="lowKashida"/>
        <w:rPr>
          <w:rFonts w:ascii="Simplified Arabic" w:hAnsi="Simplified Arabic" w:cs="Simplified Arabic"/>
          <w:sz w:val="24"/>
          <w:szCs w:val="24"/>
          <w:rtl/>
          <w:lang w:bidi="ar-IQ"/>
        </w:rPr>
      </w:pPr>
      <w:r w:rsidRPr="00236FEE">
        <w:rPr>
          <w:rFonts w:ascii="Simplified Arabic" w:hAnsi="Simplified Arabic" w:cs="Simplified Arabic"/>
          <w:sz w:val="24"/>
          <w:szCs w:val="24"/>
          <w:rtl/>
          <w:lang w:bidi="ar-IQ"/>
        </w:rPr>
        <w:t>يتناول هذا المبحث مجموعة التهديدات الاقتصادية التي تكرّس تبعيّة الاقتصاد الفلسطيني للاقتصاد الإسرائيلي، والتي تجعل هذا الأخير يتحكّم بكل تفاصيل الاقتصاد الفلسطيني، ويربطه بعلاقة قسريّة غير متوازنة، وسوف يتم رصد هذه التهديدات وتتبعها من خلال المؤشّرات الخاصّة بكلٍّ منها على النحو التالي:</w:t>
      </w:r>
    </w:p>
    <w:p w:rsidR="001B28C7" w:rsidRPr="00B75625" w:rsidRDefault="001B28C7" w:rsidP="00624491">
      <w:pPr>
        <w:spacing w:after="0" w:line="240" w:lineRule="auto"/>
        <w:ind w:firstLine="567"/>
        <w:jc w:val="lowKashida"/>
        <w:outlineLvl w:val="2"/>
        <w:rPr>
          <w:rFonts w:ascii="Times New Roman" w:eastAsia="Times New Roman" w:hAnsi="Times New Roman" w:cs="Mudir MT"/>
          <w:bCs/>
          <w:sz w:val="28"/>
          <w:szCs w:val="28"/>
          <w:lang w:val="x-none" w:eastAsia="x-none"/>
        </w:rPr>
      </w:pPr>
      <w:r w:rsidRPr="00B75625">
        <w:rPr>
          <w:rFonts w:ascii="Times New Roman" w:eastAsia="Times New Roman" w:hAnsi="Times New Roman" w:cs="Mudir MT"/>
          <w:bCs/>
          <w:sz w:val="28"/>
          <w:szCs w:val="28"/>
          <w:rtl/>
          <w:lang w:val="x-none" w:eastAsia="x-none"/>
        </w:rPr>
        <w:t>أوّلاً : الانكشاف الاقتصادي الفلسطيني واستمرار التبعية للاقتصاد الإسرائيلي:</w:t>
      </w:r>
    </w:p>
    <w:p w:rsidR="001B28C7" w:rsidRPr="00AF5660" w:rsidRDefault="001B28C7" w:rsidP="00624491">
      <w:pPr>
        <w:pStyle w:val="a7"/>
        <w:numPr>
          <w:ilvl w:val="0"/>
          <w:numId w:val="6"/>
        </w:numPr>
        <w:spacing w:after="120" w:line="240" w:lineRule="auto"/>
        <w:ind w:left="0" w:firstLine="567"/>
        <w:jc w:val="lowKashida"/>
        <w:rPr>
          <w:rFonts w:ascii="Simplified Arabic" w:hAnsi="Simplified Arabic" w:cs="Simplified Arabic"/>
          <w:b/>
          <w:bCs/>
          <w:sz w:val="28"/>
          <w:szCs w:val="28"/>
          <w:lang w:bidi="ar-IQ"/>
        </w:rPr>
      </w:pPr>
      <w:r w:rsidRPr="00AF5660">
        <w:rPr>
          <w:rFonts w:ascii="Simplified Arabic" w:hAnsi="Simplified Arabic" w:cs="Simplified Arabic"/>
          <w:b/>
          <w:bCs/>
          <w:sz w:val="28"/>
          <w:szCs w:val="28"/>
          <w:rtl/>
          <w:lang w:bidi="ar-IQ"/>
        </w:rPr>
        <w:t>التبعيّة التجاريّة لإسرائيل:</w:t>
      </w:r>
    </w:p>
    <w:p w:rsidR="001B28C7" w:rsidRPr="00236FEE" w:rsidRDefault="001B28C7" w:rsidP="00624491">
      <w:pPr>
        <w:spacing w:after="120" w:line="240" w:lineRule="auto"/>
        <w:ind w:firstLine="567"/>
        <w:jc w:val="lowKashida"/>
        <w:rPr>
          <w:rFonts w:ascii="Simplified Arabic" w:hAnsi="Simplified Arabic" w:cs="Simplified Arabic"/>
          <w:sz w:val="24"/>
          <w:szCs w:val="24"/>
          <w:rtl/>
          <w:lang w:bidi="ar-IQ"/>
        </w:rPr>
      </w:pPr>
      <w:r w:rsidRPr="00236FEE">
        <w:rPr>
          <w:rFonts w:ascii="Simplified Arabic" w:hAnsi="Simplified Arabic" w:cs="Simplified Arabic"/>
          <w:sz w:val="24"/>
          <w:szCs w:val="24"/>
          <w:rtl/>
          <w:lang w:bidi="ar-IQ"/>
        </w:rPr>
        <w:t xml:space="preserve">منذ احتلالها للأراضي الفلسطينية عام 1967، </w:t>
      </w:r>
      <w:r w:rsidRPr="00236FEE">
        <w:rPr>
          <w:rFonts w:ascii="Simplified Arabic" w:hAnsi="Simplified Arabic" w:cs="Simplified Arabic"/>
          <w:sz w:val="24"/>
          <w:szCs w:val="24"/>
          <w:rtl/>
        </w:rPr>
        <w:t xml:space="preserve">، سعت </w:t>
      </w:r>
      <w:r w:rsidRPr="00236FEE">
        <w:rPr>
          <w:rFonts w:ascii="Simplified Arabic" w:hAnsi="Simplified Arabic" w:cs="Simplified Arabic"/>
          <w:sz w:val="24"/>
          <w:szCs w:val="24"/>
          <w:rtl/>
          <w:lang w:bidi="ar-IQ"/>
        </w:rPr>
        <w:t xml:space="preserve">إسرائيل </w:t>
      </w:r>
      <w:r w:rsidRPr="00236FEE">
        <w:rPr>
          <w:rFonts w:ascii="Simplified Arabic" w:hAnsi="Simplified Arabic" w:cs="Simplified Arabic"/>
          <w:sz w:val="24"/>
          <w:szCs w:val="24"/>
          <w:rtl/>
        </w:rPr>
        <w:t>إلى تكريس الاختلالات الهيكلية في بنية الاقتصاد الفلسطيني، وإحكام تبعيته للاقتصاد الإسرائيلي، وذلك من خلال حصر علاقاته التجارية الخارجية بها أو من خلالها،</w:t>
      </w:r>
      <w:r w:rsidRPr="00236FEE">
        <w:rPr>
          <w:rFonts w:ascii="Simplified Arabic" w:hAnsi="Simplified Arabic" w:cs="Simplified Arabic"/>
          <w:sz w:val="24"/>
          <w:szCs w:val="24"/>
          <w:rtl/>
          <w:lang w:bidi="ar-IQ"/>
        </w:rPr>
        <w:t xml:space="preserve"> فأحكمت سيطرتها على التجارة الخارجية الفلسطينية، وأخضعت الاستيراد والتصدير المباشر لسياساتها وموافقتها، ومع مرور الوقت أصبحت إسرائيل أكبر شريك تجاري (قسري) للفلسطينيين، وجعلت الاقتصاد الفلسطيني رهيناً لأموال المقاصة التي تتحصّل من خلال إسرائيل، ممّا يشكّل تهديداً مستمرّاً </w:t>
      </w:r>
      <w:r w:rsidRPr="00236FEE">
        <w:rPr>
          <w:rFonts w:ascii="Simplified Arabic" w:hAnsi="Simplified Arabic" w:cs="Simplified Arabic"/>
          <w:sz w:val="24"/>
          <w:szCs w:val="24"/>
          <w:rtl/>
          <w:lang w:bidi="ar-IQ"/>
        </w:rPr>
        <w:lastRenderedPageBreak/>
        <w:t>للاستقلال والاستقرار الاقتصادي الفلسطيني، ويبقيه اقتصاداً تابعاً يرزح تحت الاحتلال، ويحول دون بنائه على أسسٍ متينةٍ، وقواعد صلبة، تدفعه نحو الاعتماد الذّاتي، والنموّ المستدام.</w:t>
      </w:r>
    </w:p>
    <w:p w:rsidR="001B28C7" w:rsidRPr="00236FEE" w:rsidRDefault="001B28C7" w:rsidP="00624491">
      <w:pPr>
        <w:spacing w:after="120" w:line="240" w:lineRule="auto"/>
        <w:ind w:firstLine="567"/>
        <w:jc w:val="lowKashida"/>
        <w:rPr>
          <w:rFonts w:ascii="Simplified Arabic" w:hAnsi="Simplified Arabic" w:cs="Simplified Arabic"/>
          <w:sz w:val="24"/>
          <w:szCs w:val="24"/>
          <w:rtl/>
          <w:lang w:bidi="ar-IQ"/>
        </w:rPr>
      </w:pPr>
      <w:r w:rsidRPr="00236FEE">
        <w:rPr>
          <w:rFonts w:ascii="Simplified Arabic" w:hAnsi="Simplified Arabic" w:cs="Simplified Arabic"/>
          <w:sz w:val="24"/>
          <w:szCs w:val="24"/>
          <w:rtl/>
          <w:lang w:bidi="ar-IQ"/>
        </w:rPr>
        <w:t xml:space="preserve">طبقاً </w:t>
      </w:r>
      <w:proofErr w:type="spellStart"/>
      <w:r w:rsidRPr="00236FEE">
        <w:rPr>
          <w:rFonts w:ascii="Simplified Arabic" w:hAnsi="Simplified Arabic" w:cs="Simplified Arabic"/>
          <w:sz w:val="24"/>
          <w:szCs w:val="24"/>
          <w:rtl/>
          <w:lang w:bidi="ar-IQ"/>
        </w:rPr>
        <w:t>للأونكتاد</w:t>
      </w:r>
      <w:proofErr w:type="spellEnd"/>
      <w:r w:rsidRPr="00236FEE">
        <w:rPr>
          <w:rFonts w:ascii="Simplified Arabic" w:hAnsi="Simplified Arabic" w:cs="Simplified Arabic"/>
          <w:sz w:val="24"/>
          <w:szCs w:val="24"/>
          <w:rtl/>
          <w:lang w:bidi="ar-IQ"/>
        </w:rPr>
        <w:t xml:space="preserve"> تراوحت نسبة الصادرات الفلسطينيّة إلى إسرائيل خلال الفترة 1967-1994 من80%-85%، بينما تراوحت نسبة الواردات الفلسطينية من إسرائيل خلال نفس الفترة بين80%-90%، فالسلطات الإسرائيلية عمدت فوراً إلى عرقلة وتقييد التجارة الفلسطينية مع بقية بلدان العالم، منذ أصبحت المناطق الفلسطينية تحت الحكم العسكري الإسرائيلي المباشر، وأجبرتها على روابط اقتصادية جديدة غير متكافئة معها، في اتحاد جمركي أحادي الجانب</w:t>
      </w:r>
      <w:r w:rsidRPr="00236FEE">
        <w:rPr>
          <w:rFonts w:ascii="Simplified Arabic" w:hAnsi="Simplified Arabic" w:cs="Simplified Arabic"/>
          <w:sz w:val="24"/>
          <w:szCs w:val="24"/>
          <w:vertAlign w:val="superscript"/>
          <w:rtl/>
          <w:lang w:bidi="ar-IQ"/>
        </w:rPr>
        <w:t>(</w:t>
      </w:r>
      <w:r w:rsidRPr="00236FEE">
        <w:rPr>
          <w:rStyle w:val="a9"/>
          <w:rFonts w:ascii="Simplified Arabic" w:hAnsi="Simplified Arabic" w:cs="Simplified Arabic"/>
          <w:sz w:val="24"/>
          <w:szCs w:val="24"/>
          <w:rtl/>
          <w:lang w:bidi="ar-IQ"/>
        </w:rPr>
        <w:footnoteReference w:id="1"/>
      </w:r>
      <w:r w:rsidRPr="00236FEE">
        <w:rPr>
          <w:rFonts w:ascii="Simplified Arabic" w:hAnsi="Simplified Arabic" w:cs="Simplified Arabic"/>
          <w:sz w:val="24"/>
          <w:szCs w:val="24"/>
          <w:vertAlign w:val="superscript"/>
          <w:rtl/>
          <w:lang w:bidi="ar-IQ"/>
        </w:rPr>
        <w:t>)</w:t>
      </w:r>
      <w:r w:rsidRPr="00236FEE">
        <w:rPr>
          <w:rFonts w:ascii="Simplified Arabic" w:hAnsi="Simplified Arabic" w:cs="Simplified Arabic"/>
          <w:sz w:val="24"/>
          <w:szCs w:val="24"/>
          <w:rtl/>
          <w:lang w:bidi="ar-IQ"/>
        </w:rPr>
        <w:t xml:space="preserve">. </w:t>
      </w:r>
    </w:p>
    <w:p w:rsidR="001B28C7" w:rsidRPr="00236FEE" w:rsidRDefault="001B28C7" w:rsidP="00624491">
      <w:pPr>
        <w:spacing w:after="0" w:line="240" w:lineRule="auto"/>
        <w:ind w:firstLine="567"/>
        <w:jc w:val="lowKashida"/>
        <w:rPr>
          <w:rFonts w:ascii="Simplified Arabic" w:hAnsi="Simplified Arabic" w:cs="Simplified Arabic"/>
          <w:sz w:val="24"/>
          <w:szCs w:val="24"/>
          <w:rtl/>
          <w:lang w:bidi="ar-IQ"/>
        </w:rPr>
      </w:pPr>
      <w:r w:rsidRPr="00236FEE">
        <w:rPr>
          <w:rFonts w:ascii="Simplified Arabic" w:hAnsi="Simplified Arabic" w:cs="Simplified Arabic"/>
          <w:sz w:val="24"/>
          <w:szCs w:val="24"/>
          <w:rtl/>
          <w:lang w:bidi="ar-IQ"/>
        </w:rPr>
        <w:t>واستمر هذا النمط بعد اتفاقية أوسلو وتوقيع بروتوكول باريس، والذي أكّد سيطرة إسرائيل على الحدود واللوائح التجاريّة الفلسطينيّة، ولعلّ البيانات الواردة في الشكل رقم (1) توضح حجم وخطورة التبعيّة الفلسطينية الكبيرة لإسرائيل كتهديد حقيقي للاقتصاد الفلسطيني، حيث شكّلت نسبة التجارة الفلسطينيّة مع إسرائيل نحو (80.9%) من إجمالي التجارة الفلسطينية خلال الفترة 1995-1999،وباستثناء بيانات العام 2000-2001، التي شهدت انطلاق الانتفاضة الفلسطينية الثانية، نجد أنّ هذا التهديد الخطير للاقتصاد الفلسطيني بقي قائماً منذ عام 2002 وحتى عام 2014، حيث شكّلت التجارة الفلسطينيّة مع إسرائيل خلال هذه الفترة ما نسبته (74.7%) من إجمالي التجارة الفلسطينية، ممّا حرم الاقتصاد الفلسطيني من مصادر الواردات وأسواق التصدير الأكثر قدرة على المنافسة، وبقي رهيناً للسياسات الإسرائيلية الاقتصادية والأمنية، الأمر الذي نتج عنه استمرار ارتفاع نسبة العجز التجاري الفلسطيني بنحو (70%) من الناتج المحلّي الإجمالي، حيث مثّل العجز التجاري مع إسرائيل معظم هذه النسبة</w:t>
      </w:r>
      <w:r w:rsidRPr="00236FEE">
        <w:rPr>
          <w:rFonts w:ascii="Simplified Arabic" w:hAnsi="Simplified Arabic" w:cs="Simplified Arabic"/>
          <w:sz w:val="24"/>
          <w:szCs w:val="24"/>
          <w:vertAlign w:val="superscript"/>
          <w:rtl/>
          <w:lang w:bidi="ar-IQ"/>
        </w:rPr>
        <w:t>(</w:t>
      </w:r>
      <w:r w:rsidRPr="00236FEE">
        <w:rPr>
          <w:rStyle w:val="a9"/>
          <w:rFonts w:ascii="Simplified Arabic" w:hAnsi="Simplified Arabic" w:cs="Simplified Arabic"/>
          <w:sz w:val="24"/>
          <w:szCs w:val="24"/>
          <w:rtl/>
          <w:lang w:bidi="ar-IQ"/>
        </w:rPr>
        <w:footnoteReference w:id="2"/>
      </w:r>
      <w:r w:rsidRPr="00236FEE">
        <w:rPr>
          <w:rFonts w:ascii="Simplified Arabic" w:hAnsi="Simplified Arabic" w:cs="Simplified Arabic"/>
          <w:sz w:val="24"/>
          <w:szCs w:val="24"/>
          <w:vertAlign w:val="superscript"/>
          <w:rtl/>
          <w:lang w:bidi="ar-IQ"/>
        </w:rPr>
        <w:t>)</w:t>
      </w:r>
      <w:r w:rsidRPr="00236FEE">
        <w:rPr>
          <w:rFonts w:ascii="Simplified Arabic" w:hAnsi="Simplified Arabic" w:cs="Simplified Arabic"/>
          <w:sz w:val="24"/>
          <w:szCs w:val="24"/>
          <w:rtl/>
          <w:lang w:bidi="ar-IQ"/>
        </w:rPr>
        <w:t>.</w:t>
      </w:r>
    </w:p>
    <w:p w:rsidR="001B28C7" w:rsidRPr="00AF5660" w:rsidRDefault="001B28C7" w:rsidP="00624491">
      <w:pPr>
        <w:spacing w:after="0" w:line="240" w:lineRule="auto"/>
        <w:ind w:firstLine="567"/>
        <w:jc w:val="center"/>
        <w:rPr>
          <w:rFonts w:ascii="Simplified Arabic" w:hAnsi="Simplified Arabic" w:cs="Simplified Arabic"/>
          <w:b/>
          <w:bCs/>
          <w:sz w:val="28"/>
          <w:szCs w:val="28"/>
          <w:rtl/>
          <w:lang w:bidi="ar-IQ"/>
        </w:rPr>
      </w:pPr>
      <w:r w:rsidRPr="00AF5660">
        <w:rPr>
          <w:rFonts w:ascii="Simplified Arabic" w:hAnsi="Simplified Arabic" w:cs="Simplified Arabic"/>
          <w:b/>
          <w:bCs/>
          <w:sz w:val="28"/>
          <w:szCs w:val="28"/>
          <w:rtl/>
          <w:lang w:bidi="ar-IQ"/>
        </w:rPr>
        <w:lastRenderedPageBreak/>
        <w:t>شكل (1) التجارة الفلسطينيّة مع إسرائيل /إجمالي التجارة الفلسطينية 1995-2014</w:t>
      </w:r>
      <w:r w:rsidR="00AF5660" w:rsidRPr="00236FEE">
        <w:rPr>
          <w:rFonts w:ascii="Simplified Arabic" w:hAnsi="Simplified Arabic" w:cs="Simplified Arabic"/>
          <w:noProof/>
          <w:sz w:val="24"/>
          <w:szCs w:val="24"/>
        </w:rPr>
        <w:drawing>
          <wp:inline distT="0" distB="0" distL="0" distR="0" wp14:anchorId="490C8863" wp14:editId="00D91D47">
            <wp:extent cx="3466769" cy="2464905"/>
            <wp:effectExtent l="0" t="0" r="19685" b="12065"/>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B28C7" w:rsidRPr="00624491" w:rsidRDefault="001B28C7" w:rsidP="00624491">
      <w:pPr>
        <w:spacing w:after="0" w:line="240" w:lineRule="auto"/>
        <w:ind w:left="624" w:hanging="57"/>
        <w:jc w:val="lowKashida"/>
        <w:rPr>
          <w:rFonts w:ascii="Simplified Arabic" w:hAnsi="Simplified Arabic" w:cs="Simplified Arabic"/>
          <w:sz w:val="20"/>
          <w:szCs w:val="20"/>
          <w:rtl/>
        </w:rPr>
      </w:pPr>
      <w:r w:rsidRPr="005366C2">
        <w:rPr>
          <w:rFonts w:ascii="Simplified Arabic" w:hAnsi="Simplified Arabic" w:cs="Simplified Arabic"/>
          <w:b/>
          <w:bCs/>
          <w:sz w:val="20"/>
          <w:szCs w:val="20"/>
          <w:rtl/>
          <w:lang w:bidi="ar-IQ"/>
        </w:rPr>
        <w:t>المصدر :</w:t>
      </w:r>
      <w:r w:rsidRPr="00624491">
        <w:rPr>
          <w:rFonts w:ascii="Simplified Arabic" w:hAnsi="Simplified Arabic" w:cs="Simplified Arabic"/>
          <w:sz w:val="20"/>
          <w:szCs w:val="20"/>
          <w:rtl/>
          <w:lang w:bidi="ar-IQ"/>
        </w:rPr>
        <w:t xml:space="preserve"> من إعداد الباحثين استناداً لإحصاءات التجارة الخارجية - الجهاز المركزي للإحصاء الفلسطيني –سنوات مختلفة</w:t>
      </w:r>
    </w:p>
    <w:p w:rsidR="001B28C7" w:rsidRPr="00945EE6" w:rsidRDefault="001B28C7" w:rsidP="00624491">
      <w:pPr>
        <w:pStyle w:val="a7"/>
        <w:numPr>
          <w:ilvl w:val="0"/>
          <w:numId w:val="6"/>
        </w:numPr>
        <w:spacing w:after="0" w:line="240" w:lineRule="auto"/>
        <w:ind w:left="0" w:firstLine="567"/>
        <w:jc w:val="lowKashida"/>
        <w:rPr>
          <w:rFonts w:ascii="Simplified Arabic" w:hAnsi="Simplified Arabic" w:cs="Simplified Arabic"/>
          <w:b/>
          <w:bCs/>
          <w:sz w:val="28"/>
          <w:szCs w:val="28"/>
          <w:lang w:bidi="ar-IQ"/>
        </w:rPr>
      </w:pPr>
      <w:r w:rsidRPr="00945EE6">
        <w:rPr>
          <w:rFonts w:ascii="Simplified Arabic" w:hAnsi="Simplified Arabic" w:cs="Simplified Arabic"/>
          <w:b/>
          <w:bCs/>
          <w:sz w:val="28"/>
          <w:szCs w:val="28"/>
          <w:rtl/>
          <w:lang w:bidi="ar-IQ"/>
        </w:rPr>
        <w:t>التبعيّة الماليّة لإسرائيل:</w:t>
      </w:r>
    </w:p>
    <w:p w:rsidR="001B28C7" w:rsidRPr="00236FEE" w:rsidRDefault="001B28C7" w:rsidP="00624491">
      <w:pPr>
        <w:spacing w:after="0" w:line="240" w:lineRule="auto"/>
        <w:ind w:firstLine="567"/>
        <w:jc w:val="lowKashida"/>
        <w:rPr>
          <w:rFonts w:ascii="Simplified Arabic" w:hAnsi="Simplified Arabic" w:cs="Simplified Arabic"/>
          <w:sz w:val="24"/>
          <w:szCs w:val="24"/>
          <w:rtl/>
          <w:lang w:bidi="ar-IQ"/>
        </w:rPr>
      </w:pPr>
      <w:r w:rsidRPr="00236FEE">
        <w:rPr>
          <w:rFonts w:ascii="Simplified Arabic" w:hAnsi="Simplified Arabic" w:cs="Simplified Arabic"/>
          <w:sz w:val="24"/>
          <w:szCs w:val="24"/>
          <w:rtl/>
          <w:lang w:bidi="ar-IQ"/>
        </w:rPr>
        <w:t xml:space="preserve">حدّد اتفاق باريس الاقتصادي أدوات السياسة المالية المسموح استخدامها من قبل السلطة الفلسطينية، ففي حين أنّ الاتفاق منح السلطة الفلسطينية مساحة واسعة للتحكم في السياسة </w:t>
      </w:r>
      <w:proofErr w:type="spellStart"/>
      <w:r w:rsidRPr="00236FEE">
        <w:rPr>
          <w:rFonts w:ascii="Simplified Arabic" w:hAnsi="Simplified Arabic" w:cs="Simplified Arabic"/>
          <w:sz w:val="24"/>
          <w:szCs w:val="24"/>
          <w:rtl/>
          <w:lang w:bidi="ar-IQ"/>
        </w:rPr>
        <w:t>الإنفاقية</w:t>
      </w:r>
      <w:proofErr w:type="spellEnd"/>
      <w:r w:rsidRPr="00236FEE">
        <w:rPr>
          <w:rFonts w:ascii="Simplified Arabic" w:hAnsi="Simplified Arabic" w:cs="Simplified Arabic"/>
          <w:sz w:val="24"/>
          <w:szCs w:val="24"/>
          <w:rtl/>
          <w:lang w:bidi="ar-IQ"/>
        </w:rPr>
        <w:t xml:space="preserve">، إلّا أنّه حدّد صلاحيّات السلطة الفلسطينية في التحكّم بالإيرادات، كما حدّد الاتفاق السياسات الجمركية للسلطة الفلسطينية، حيث أتاح لها إمكانية فرض ضرائب شراء ورسوم جمركية على سلع محددة، وبكميّات محددة، يتم استيرادها من الخارج، تمّ توثيقها في قوائم ( </w:t>
      </w:r>
      <w:r w:rsidRPr="00236FEE">
        <w:rPr>
          <w:rFonts w:ascii="Simplified Arabic" w:hAnsi="Simplified Arabic" w:cs="Simplified Arabic"/>
          <w:sz w:val="24"/>
          <w:szCs w:val="24"/>
          <w:lang w:bidi="ar-IQ"/>
        </w:rPr>
        <w:t>A</w:t>
      </w:r>
      <w:r w:rsidRPr="00236FEE">
        <w:rPr>
          <w:rFonts w:ascii="Simplified Arabic" w:hAnsi="Simplified Arabic" w:cs="Simplified Arabic"/>
          <w:sz w:val="24"/>
          <w:szCs w:val="24"/>
          <w:vertAlign w:val="subscript"/>
          <w:lang w:bidi="ar-IQ"/>
        </w:rPr>
        <w:t>1</w:t>
      </w:r>
      <w:r w:rsidRPr="00236FEE">
        <w:rPr>
          <w:rFonts w:ascii="Simplified Arabic" w:hAnsi="Simplified Arabic" w:cs="Simplified Arabic"/>
          <w:sz w:val="24"/>
          <w:szCs w:val="24"/>
          <w:rtl/>
          <w:lang w:bidi="ar-IQ"/>
        </w:rPr>
        <w:t xml:space="preserve"> و</w:t>
      </w:r>
      <w:r w:rsidRPr="00236FEE">
        <w:rPr>
          <w:rFonts w:ascii="Simplified Arabic" w:hAnsi="Simplified Arabic" w:cs="Simplified Arabic"/>
          <w:sz w:val="24"/>
          <w:szCs w:val="24"/>
          <w:lang w:bidi="ar-IQ"/>
        </w:rPr>
        <w:t xml:space="preserve"> A</w:t>
      </w:r>
      <w:r w:rsidRPr="00236FEE">
        <w:rPr>
          <w:rFonts w:ascii="Simplified Arabic" w:hAnsi="Simplified Arabic" w:cs="Simplified Arabic"/>
          <w:sz w:val="24"/>
          <w:szCs w:val="24"/>
          <w:vertAlign w:val="subscript"/>
          <w:lang w:bidi="ar-IQ"/>
        </w:rPr>
        <w:t xml:space="preserve">2 </w:t>
      </w:r>
      <w:r w:rsidRPr="00236FEE">
        <w:rPr>
          <w:rFonts w:ascii="Simplified Arabic" w:hAnsi="Simplified Arabic" w:cs="Simplified Arabic"/>
          <w:sz w:val="24"/>
          <w:szCs w:val="24"/>
          <w:rtl/>
          <w:lang w:bidi="ar-IQ"/>
        </w:rPr>
        <w:t>)، أمّا باقي السلع فعلى السلطة الفلسطينية الالتزام بالقوانين الجمركية الإسرائيلية حين استيرادها</w:t>
      </w:r>
      <w:r w:rsidRPr="00236FEE">
        <w:rPr>
          <w:rStyle w:val="a9"/>
          <w:rFonts w:ascii="Simplified Arabic" w:hAnsi="Simplified Arabic" w:cs="Simplified Arabic"/>
          <w:sz w:val="24"/>
          <w:szCs w:val="24"/>
          <w:rtl/>
          <w:lang w:bidi="ar-IQ"/>
        </w:rPr>
        <w:footnoteReference w:id="3"/>
      </w:r>
      <w:r w:rsidRPr="00236FEE">
        <w:rPr>
          <w:rFonts w:ascii="Simplified Arabic" w:hAnsi="Simplified Arabic" w:cs="Simplified Arabic"/>
          <w:sz w:val="24"/>
          <w:szCs w:val="24"/>
          <w:rtl/>
          <w:lang w:bidi="ar-IQ"/>
        </w:rPr>
        <w:t xml:space="preserve">( </w:t>
      </w:r>
      <w:proofErr w:type="spellStart"/>
      <w:r w:rsidRPr="00236FEE">
        <w:rPr>
          <w:rFonts w:ascii="Simplified Arabic" w:hAnsi="Simplified Arabic" w:cs="Simplified Arabic"/>
          <w:sz w:val="24"/>
          <w:szCs w:val="24"/>
          <w:rtl/>
          <w:lang w:bidi="ar-IQ"/>
        </w:rPr>
        <w:t>قباجة</w:t>
      </w:r>
      <w:proofErr w:type="spellEnd"/>
      <w:r w:rsidRPr="00236FEE">
        <w:rPr>
          <w:rFonts w:ascii="Simplified Arabic" w:hAnsi="Simplified Arabic" w:cs="Simplified Arabic"/>
          <w:sz w:val="24"/>
          <w:szCs w:val="24"/>
          <w:rtl/>
          <w:lang w:bidi="ar-IQ"/>
        </w:rPr>
        <w:t>، 2012، ص52).</w:t>
      </w:r>
    </w:p>
    <w:p w:rsidR="001B28C7" w:rsidRPr="00236FEE" w:rsidRDefault="001B28C7" w:rsidP="00624491">
      <w:pPr>
        <w:spacing w:after="0" w:line="240" w:lineRule="auto"/>
        <w:ind w:firstLine="567"/>
        <w:jc w:val="lowKashida"/>
        <w:rPr>
          <w:rFonts w:ascii="Simplified Arabic" w:hAnsi="Simplified Arabic" w:cs="Simplified Arabic"/>
          <w:sz w:val="24"/>
          <w:szCs w:val="24"/>
          <w:rtl/>
          <w:lang w:bidi="ar-IQ"/>
        </w:rPr>
      </w:pPr>
      <w:r w:rsidRPr="00236FEE">
        <w:rPr>
          <w:rFonts w:ascii="Simplified Arabic" w:hAnsi="Simplified Arabic" w:cs="Simplified Arabic"/>
          <w:sz w:val="24"/>
          <w:szCs w:val="24"/>
          <w:rtl/>
          <w:lang w:bidi="ar-IQ"/>
        </w:rPr>
        <w:lastRenderedPageBreak/>
        <w:t>يكمن التهديد المباشر للاستقرار المالي الفلسطيني في سيطرة إسرائيل على الإيرادات الضريبية وإيرادات التخليص الجمركي (المقاصة)</w:t>
      </w:r>
      <w:r w:rsidRPr="00236FEE">
        <w:rPr>
          <w:rStyle w:val="a9"/>
          <w:rFonts w:ascii="Simplified Arabic" w:hAnsi="Simplified Arabic" w:cs="Simplified Arabic"/>
          <w:sz w:val="24"/>
          <w:szCs w:val="24"/>
          <w:lang w:bidi="ar-IQ"/>
        </w:rPr>
        <w:footnoteReference w:customMarkFollows="1" w:id="4"/>
        <w:sym w:font="Symbol" w:char="F02A"/>
      </w:r>
      <w:r w:rsidRPr="00236FEE">
        <w:rPr>
          <w:rFonts w:ascii="Simplified Arabic" w:hAnsi="Simplified Arabic" w:cs="Simplified Arabic"/>
          <w:sz w:val="24"/>
          <w:szCs w:val="24"/>
          <w:rtl/>
          <w:lang w:bidi="ar-IQ"/>
        </w:rPr>
        <w:t xml:space="preserve"> التي تقوم بتحصيلها على المعابر والموانئ بالنيابة عن السلطة الفلسطينية، وما تتسبب به من تسرّب مالي واستنزاف لخزينة السلطة الفلسطينية، وحقيقة الأمر أنّ الاقتصاد الفلسطيني يواجه تهديدين مختلفين نتيجة تحكّم إسرائيل بإيرادات المقاصة:</w:t>
      </w:r>
    </w:p>
    <w:p w:rsidR="001B28C7" w:rsidRPr="00236FEE" w:rsidRDefault="001B28C7" w:rsidP="00624491">
      <w:pPr>
        <w:spacing w:after="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b/>
          <w:bCs/>
          <w:sz w:val="24"/>
          <w:szCs w:val="24"/>
          <w:rtl/>
          <w:lang w:bidi="ar-IQ"/>
        </w:rPr>
        <w:t>التهديد الأوّل:</w:t>
      </w:r>
      <w:r w:rsidRPr="00236FEE">
        <w:rPr>
          <w:rFonts w:ascii="Simplified Arabic" w:hAnsi="Simplified Arabic" w:cs="Simplified Arabic"/>
          <w:sz w:val="24"/>
          <w:szCs w:val="24"/>
          <w:rtl/>
          <w:lang w:bidi="ar-IQ"/>
        </w:rPr>
        <w:t xml:space="preserve"> يتعلّق بعدم القدرة على التنبؤ بحجم هذه الإيرادات، رغم أهميّتها بالنسبة للاقتصاد الفلسطيني، كمكوّن رئيس للإيرادات المحلّيّة، فهذه الإيرادات تُعتبر صمّام الأمان للحكومة الفلسطينيّة في قدرتها على الوفاء بالتزاماتها، ودفع المستحقات المترتّبة عليها، حيث تشكّل بالمتوسط ثلاثة أرباع الإيرادات المحلّيّة الفلسطينيّة، ولعلّ الجدول رقم (1) الذي يعرض </w:t>
      </w:r>
      <w:r w:rsidRPr="00236FEE">
        <w:rPr>
          <w:rFonts w:ascii="Simplified Arabic" w:hAnsi="Simplified Arabic" w:cs="Simplified Arabic"/>
          <w:sz w:val="24"/>
          <w:szCs w:val="24"/>
          <w:rtl/>
        </w:rPr>
        <w:t>تطوّر إيرادات المقاصة خلال العامين 2013، 2014، بالإضافة إلى الربعين الأول والثاني من العام 2015، يبيّن مدى أهميّة هذه الإيرادات، حيث يتضح من الجدول أنّ الإيرادات بلغت (6103) مليون شيكل في العام 2013، ونتيجة ارتفاع ايرادات الجمارك بنسبة (22%)، وضريبة القيمة المضافة بنسبة (13%)، وضريبة المحروقات بنسبة (26%)، فقد ارتفعت ايرادات المقاصة في نهاية العام 2104 بنسبة (20%) عن العام 2013، لتصل إلى (7331) مليون شيكل</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rPr>
        <w:footnoteReference w:id="5"/>
      </w:r>
      <w:r w:rsidRPr="00236FEE">
        <w:rPr>
          <w:rFonts w:ascii="Simplified Arabic" w:hAnsi="Simplified Arabic" w:cs="Simplified Arabic"/>
          <w:sz w:val="24"/>
          <w:szCs w:val="24"/>
          <w:vertAlign w:val="superscript"/>
          <w:rtl/>
        </w:rPr>
        <w:t>)</w:t>
      </w:r>
      <w:r w:rsidRPr="00236FEE">
        <w:rPr>
          <w:rFonts w:ascii="Simplified Arabic" w:hAnsi="Simplified Arabic" w:cs="Simplified Arabic"/>
          <w:sz w:val="24"/>
          <w:szCs w:val="24"/>
          <w:rtl/>
        </w:rPr>
        <w:t>.</w:t>
      </w:r>
    </w:p>
    <w:p w:rsidR="001B28C7" w:rsidRPr="00236FEE" w:rsidRDefault="001B28C7" w:rsidP="00624491">
      <w:pPr>
        <w:spacing w:after="0" w:line="240" w:lineRule="auto"/>
        <w:ind w:firstLine="567"/>
        <w:jc w:val="lowKashida"/>
        <w:rPr>
          <w:rFonts w:ascii="Simplified Arabic" w:hAnsi="Simplified Arabic" w:cs="Simplified Arabic"/>
          <w:sz w:val="24"/>
          <w:szCs w:val="24"/>
        </w:rPr>
      </w:pPr>
      <w:r w:rsidRPr="00236FEE">
        <w:rPr>
          <w:rFonts w:ascii="Simplified Arabic" w:hAnsi="Simplified Arabic" w:cs="Simplified Arabic"/>
          <w:sz w:val="24"/>
          <w:szCs w:val="24"/>
          <w:rtl/>
        </w:rPr>
        <w:t>كما يتضح من الجدول أيضاً أنّ إيرادات المقاصة ساهمت بنحو ( 66.5%) من إجمالي الإيرادات المحلّيّة في الموازنة في نهاية العام 2013، ارتفعت هذه النسبة إلى (70.3%) في نهاية العام 2014، أما في العام 2015 فقد ارتفعت نسبة مساهمة إيرادات المقاصة إلى (77.2%) من إجمالي الإيرادات المحلية في الربع الثاني منه، مقابل (67.6%) في الربع الأول لنفس العام.</w:t>
      </w:r>
    </w:p>
    <w:p w:rsidR="001B28C7" w:rsidRPr="00236FEE" w:rsidRDefault="001B28C7" w:rsidP="00624491">
      <w:pPr>
        <w:spacing w:after="0" w:line="240" w:lineRule="auto"/>
        <w:ind w:firstLine="567"/>
        <w:jc w:val="lowKashida"/>
        <w:rPr>
          <w:rFonts w:ascii="Simplified Arabic" w:hAnsi="Simplified Arabic" w:cs="Simplified Arabic"/>
          <w:sz w:val="24"/>
          <w:szCs w:val="24"/>
        </w:rPr>
      </w:pPr>
      <w:r w:rsidRPr="00236FEE">
        <w:rPr>
          <w:rFonts w:ascii="Simplified Arabic" w:hAnsi="Simplified Arabic" w:cs="Simplified Arabic"/>
          <w:sz w:val="24"/>
          <w:szCs w:val="24"/>
          <w:rtl/>
        </w:rPr>
        <w:t xml:space="preserve">كما تشير البيانات أنّ إيرادات المقاصة ارتفعت مساهمتها في تغطية حوالي (56.9%) من النفقات العامة، (59.6%) من النفقات الجارية وصافي الإقراض، (108%) من نفقات الأجور والرواتب خلال العام 2014، مقابل (49.3%)، (51.9%)، (93.0%) </w:t>
      </w:r>
      <w:r w:rsidRPr="00236FEE">
        <w:rPr>
          <w:rFonts w:ascii="Simplified Arabic" w:hAnsi="Simplified Arabic" w:cs="Simplified Arabic"/>
          <w:sz w:val="24"/>
          <w:szCs w:val="24"/>
          <w:rtl/>
        </w:rPr>
        <w:lastRenderedPageBreak/>
        <w:t>لهذه النسب على التوالي خلال العام 2013، وهذا يدلّل على مدى أهميّة إيرادات المقاصة بالنسبة للاقتصاد الفلسطيني، وبالتالي عدم القدرة على التنبؤ بحجم هذه الإيرادات، يجعل من التخطيط المالي أمراً غاية في الصعوبة، ويحدّ من فعالية هذه الأداة الهامة من أدوات السياسة المالية لدى السلطة الفلسطينية، ويقوّض قدرتها على تسديد التزاماتها تجاه القطاعين الخاص والعام، كما أنّ عدم القدرة على التنبؤ بحجم الإيرادات يزيد تقلّب الإنفاق الحكومي، ممّا يؤثّر سلباً على الاستهلاك والاستثمارات العامة</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rPr>
        <w:footnoteReference w:id="6"/>
      </w:r>
      <w:r w:rsidRPr="00236FEE">
        <w:rPr>
          <w:rFonts w:ascii="Simplified Arabic" w:hAnsi="Simplified Arabic" w:cs="Simplified Arabic"/>
          <w:sz w:val="24"/>
          <w:szCs w:val="24"/>
          <w:vertAlign w:val="superscript"/>
          <w:rtl/>
        </w:rPr>
        <w:t>)</w:t>
      </w:r>
      <w:r w:rsidRPr="00236FEE">
        <w:rPr>
          <w:rFonts w:ascii="Simplified Arabic" w:hAnsi="Simplified Arabic" w:cs="Simplified Arabic"/>
          <w:sz w:val="24"/>
          <w:szCs w:val="24"/>
          <w:rtl/>
        </w:rPr>
        <w:t xml:space="preserve">    </w:t>
      </w:r>
    </w:p>
    <w:p w:rsidR="001B28C7" w:rsidRPr="009621E2" w:rsidRDefault="001B28C7" w:rsidP="00F77884">
      <w:pPr>
        <w:spacing w:after="0" w:line="240" w:lineRule="auto"/>
        <w:jc w:val="center"/>
        <w:rPr>
          <w:rFonts w:ascii="Simplified Arabic" w:hAnsi="Simplified Arabic" w:cs="Simplified Arabic"/>
          <w:b/>
          <w:bCs/>
          <w:sz w:val="24"/>
          <w:szCs w:val="24"/>
          <w:rtl/>
        </w:rPr>
      </w:pPr>
      <w:r w:rsidRPr="00EF3C4F">
        <w:rPr>
          <w:rFonts w:ascii="Simplified Arabic" w:hAnsi="Simplified Arabic" w:cs="Simplified Arabic"/>
          <w:b/>
          <w:bCs/>
          <w:sz w:val="28"/>
          <w:szCs w:val="28"/>
          <w:rtl/>
        </w:rPr>
        <w:t>جدول (1) إيرادات المقاصة</w:t>
      </w:r>
      <w:r w:rsidRPr="00EF3C4F">
        <w:rPr>
          <w:rFonts w:ascii="Simplified Arabic" w:hAnsi="Simplified Arabic" w:cs="Simplified Arabic"/>
          <w:b/>
          <w:bCs/>
          <w:sz w:val="28"/>
          <w:szCs w:val="28"/>
          <w:rtl/>
          <w:lang w:bidi="ar-IQ"/>
        </w:rPr>
        <w:t xml:space="preserve"> الفلسطينية</w:t>
      </w:r>
      <w:r w:rsidRPr="00EF3C4F">
        <w:rPr>
          <w:rFonts w:ascii="Simplified Arabic" w:hAnsi="Simplified Arabic" w:cs="Simplified Arabic"/>
          <w:b/>
          <w:bCs/>
          <w:sz w:val="28"/>
          <w:szCs w:val="28"/>
          <w:rtl/>
        </w:rPr>
        <w:t xml:space="preserve"> ( مليون شيكل)</w:t>
      </w:r>
    </w:p>
    <w:tbl>
      <w:tblPr>
        <w:tblStyle w:val="a5"/>
        <w:tblpPr w:leftFromText="180" w:rightFromText="180" w:vertAnchor="text" w:tblpY="1"/>
        <w:tblOverlap w:val="never"/>
        <w:bidiVisual/>
        <w:tblW w:w="680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984"/>
        <w:gridCol w:w="991"/>
        <w:gridCol w:w="993"/>
        <w:gridCol w:w="851"/>
        <w:gridCol w:w="992"/>
        <w:gridCol w:w="992"/>
      </w:tblGrid>
      <w:tr w:rsidR="001B28C7" w:rsidRPr="004D2CD6" w:rsidTr="00A80AAD">
        <w:tc>
          <w:tcPr>
            <w:tcW w:w="1984" w:type="dxa"/>
            <w:tcBorders>
              <w:top w:val="single" w:sz="18" w:space="0" w:color="auto"/>
              <w:bottom w:val="single" w:sz="18" w:space="0" w:color="auto"/>
            </w:tcBorders>
          </w:tcPr>
          <w:p w:rsidR="001B28C7" w:rsidRPr="004D2CD6" w:rsidRDefault="001B28C7" w:rsidP="00F77884">
            <w:pPr>
              <w:ind w:firstLine="0"/>
              <w:jc w:val="center"/>
              <w:outlineLvl w:val="0"/>
              <w:rPr>
                <w:rFonts w:ascii="Simplified Arabic" w:hAnsi="Simplified Arabic" w:cs="Simplified Arabic"/>
                <w:b/>
                <w:bCs/>
                <w:rtl/>
              </w:rPr>
            </w:pPr>
            <w:r w:rsidRPr="004D2CD6">
              <w:rPr>
                <w:rFonts w:ascii="Simplified Arabic" w:hAnsi="Simplified Arabic" w:cs="Simplified Arabic"/>
                <w:b/>
                <w:bCs/>
                <w:rtl/>
              </w:rPr>
              <w:t>البند</w:t>
            </w:r>
          </w:p>
        </w:tc>
        <w:tc>
          <w:tcPr>
            <w:tcW w:w="991" w:type="dxa"/>
            <w:tcBorders>
              <w:top w:val="single" w:sz="18" w:space="0" w:color="auto"/>
              <w:bottom w:val="single" w:sz="18" w:space="0" w:color="auto"/>
            </w:tcBorders>
          </w:tcPr>
          <w:p w:rsidR="001B28C7" w:rsidRPr="004D2CD6" w:rsidRDefault="001B28C7" w:rsidP="00F77884">
            <w:pPr>
              <w:ind w:firstLine="0"/>
              <w:jc w:val="center"/>
              <w:outlineLvl w:val="0"/>
              <w:rPr>
                <w:rFonts w:ascii="Simplified Arabic" w:hAnsi="Simplified Arabic" w:cs="Simplified Arabic"/>
                <w:b/>
                <w:bCs/>
                <w:rtl/>
              </w:rPr>
            </w:pPr>
            <w:r w:rsidRPr="004D2CD6">
              <w:rPr>
                <w:rFonts w:ascii="Simplified Arabic" w:hAnsi="Simplified Arabic" w:cs="Simplified Arabic"/>
                <w:b/>
                <w:bCs/>
                <w:rtl/>
              </w:rPr>
              <w:t>2013</w:t>
            </w:r>
          </w:p>
        </w:tc>
        <w:tc>
          <w:tcPr>
            <w:tcW w:w="993" w:type="dxa"/>
            <w:tcBorders>
              <w:top w:val="single" w:sz="18" w:space="0" w:color="auto"/>
              <w:bottom w:val="single" w:sz="18" w:space="0" w:color="auto"/>
            </w:tcBorders>
          </w:tcPr>
          <w:p w:rsidR="001B28C7" w:rsidRPr="004D2CD6" w:rsidRDefault="001B28C7" w:rsidP="00F77884">
            <w:pPr>
              <w:ind w:firstLine="0"/>
              <w:jc w:val="center"/>
              <w:outlineLvl w:val="0"/>
              <w:rPr>
                <w:rFonts w:ascii="Simplified Arabic" w:hAnsi="Simplified Arabic" w:cs="Simplified Arabic"/>
                <w:b/>
                <w:bCs/>
                <w:rtl/>
              </w:rPr>
            </w:pPr>
            <w:r w:rsidRPr="004D2CD6">
              <w:rPr>
                <w:rFonts w:ascii="Simplified Arabic" w:hAnsi="Simplified Arabic" w:cs="Simplified Arabic"/>
                <w:b/>
                <w:bCs/>
                <w:rtl/>
              </w:rPr>
              <w:t>2014</w:t>
            </w:r>
          </w:p>
        </w:tc>
        <w:tc>
          <w:tcPr>
            <w:tcW w:w="851" w:type="dxa"/>
            <w:tcBorders>
              <w:top w:val="single" w:sz="18" w:space="0" w:color="auto"/>
              <w:bottom w:val="single" w:sz="18" w:space="0" w:color="auto"/>
            </w:tcBorders>
          </w:tcPr>
          <w:p w:rsidR="001B28C7" w:rsidRPr="004D2CD6" w:rsidRDefault="001B28C7" w:rsidP="00F77884">
            <w:pPr>
              <w:ind w:firstLine="0"/>
              <w:jc w:val="center"/>
              <w:outlineLvl w:val="0"/>
              <w:rPr>
                <w:rFonts w:ascii="Simplified Arabic" w:hAnsi="Simplified Arabic" w:cs="Simplified Arabic"/>
                <w:b/>
                <w:bCs/>
                <w:rtl/>
              </w:rPr>
            </w:pPr>
            <w:r w:rsidRPr="004D2CD6">
              <w:rPr>
                <w:rFonts w:ascii="Simplified Arabic" w:hAnsi="Simplified Arabic" w:cs="Simplified Arabic"/>
                <w:b/>
                <w:bCs/>
                <w:rtl/>
              </w:rPr>
              <w:t>2014</w:t>
            </w:r>
          </w:p>
          <w:p w:rsidR="001B28C7" w:rsidRPr="004D2CD6" w:rsidRDefault="001B28C7" w:rsidP="00F77884">
            <w:pPr>
              <w:ind w:firstLine="0"/>
              <w:jc w:val="center"/>
              <w:outlineLvl w:val="0"/>
              <w:rPr>
                <w:rFonts w:ascii="Simplified Arabic" w:hAnsi="Simplified Arabic" w:cs="Simplified Arabic"/>
                <w:b/>
                <w:bCs/>
                <w:rtl/>
              </w:rPr>
            </w:pPr>
            <w:r w:rsidRPr="004D2CD6">
              <w:rPr>
                <w:rFonts w:ascii="Simplified Arabic" w:hAnsi="Simplified Arabic" w:cs="Simplified Arabic"/>
                <w:b/>
                <w:bCs/>
                <w:rtl/>
              </w:rPr>
              <w:t>/2013</w:t>
            </w:r>
          </w:p>
        </w:tc>
        <w:tc>
          <w:tcPr>
            <w:tcW w:w="992" w:type="dxa"/>
            <w:tcBorders>
              <w:top w:val="single" w:sz="18" w:space="0" w:color="auto"/>
              <w:bottom w:val="single" w:sz="18" w:space="0" w:color="auto"/>
            </w:tcBorders>
          </w:tcPr>
          <w:p w:rsidR="001B28C7" w:rsidRPr="004D2CD6" w:rsidRDefault="001B28C7" w:rsidP="00F77884">
            <w:pPr>
              <w:ind w:firstLine="0"/>
              <w:jc w:val="center"/>
              <w:outlineLvl w:val="0"/>
              <w:rPr>
                <w:rFonts w:ascii="Simplified Arabic" w:hAnsi="Simplified Arabic" w:cs="Simplified Arabic"/>
                <w:b/>
                <w:bCs/>
                <w:lang w:bidi="ar-IQ"/>
              </w:rPr>
            </w:pPr>
            <w:r w:rsidRPr="004D2CD6">
              <w:rPr>
                <w:rFonts w:ascii="Simplified Arabic" w:hAnsi="Simplified Arabic" w:cs="Simplified Arabic"/>
                <w:b/>
                <w:bCs/>
                <w:lang w:bidi="ar-IQ"/>
              </w:rPr>
              <w:t>Q</w:t>
            </w:r>
            <w:r w:rsidRPr="004D2CD6">
              <w:rPr>
                <w:rFonts w:ascii="Simplified Arabic" w:hAnsi="Simplified Arabic" w:cs="Simplified Arabic"/>
                <w:b/>
                <w:bCs/>
                <w:vertAlign w:val="subscript"/>
                <w:lang w:bidi="ar-IQ"/>
              </w:rPr>
              <w:t>1</w:t>
            </w:r>
            <w:r w:rsidRPr="004D2CD6">
              <w:rPr>
                <w:rFonts w:ascii="Simplified Arabic" w:hAnsi="Simplified Arabic" w:cs="Simplified Arabic"/>
                <w:b/>
                <w:bCs/>
                <w:lang w:bidi="ar-IQ"/>
              </w:rPr>
              <w:t xml:space="preserve"> 2015</w:t>
            </w:r>
          </w:p>
        </w:tc>
        <w:tc>
          <w:tcPr>
            <w:tcW w:w="992" w:type="dxa"/>
            <w:tcBorders>
              <w:top w:val="single" w:sz="18" w:space="0" w:color="auto"/>
              <w:bottom w:val="single" w:sz="18" w:space="0" w:color="auto"/>
            </w:tcBorders>
          </w:tcPr>
          <w:p w:rsidR="001B28C7" w:rsidRPr="004D2CD6" w:rsidRDefault="001B28C7" w:rsidP="00F77884">
            <w:pPr>
              <w:ind w:firstLine="0"/>
              <w:jc w:val="center"/>
              <w:outlineLvl w:val="0"/>
              <w:rPr>
                <w:rFonts w:ascii="Simplified Arabic" w:hAnsi="Simplified Arabic" w:cs="Simplified Arabic"/>
                <w:b/>
                <w:bCs/>
                <w:lang w:bidi="ar-IQ"/>
              </w:rPr>
            </w:pPr>
            <w:r w:rsidRPr="004D2CD6">
              <w:rPr>
                <w:rFonts w:ascii="Simplified Arabic" w:hAnsi="Simplified Arabic" w:cs="Simplified Arabic"/>
                <w:b/>
                <w:bCs/>
                <w:lang w:bidi="ar-IQ"/>
              </w:rPr>
              <w:t>Q</w:t>
            </w:r>
            <w:r w:rsidRPr="004D2CD6">
              <w:rPr>
                <w:rFonts w:ascii="Simplified Arabic" w:hAnsi="Simplified Arabic" w:cs="Simplified Arabic"/>
                <w:b/>
                <w:bCs/>
                <w:vertAlign w:val="subscript"/>
                <w:lang w:bidi="ar-IQ"/>
              </w:rPr>
              <w:t>2</w:t>
            </w:r>
            <w:r w:rsidRPr="004D2CD6">
              <w:rPr>
                <w:rFonts w:ascii="Simplified Arabic" w:hAnsi="Simplified Arabic" w:cs="Simplified Arabic"/>
                <w:b/>
                <w:bCs/>
                <w:lang w:bidi="ar-IQ"/>
              </w:rPr>
              <w:t xml:space="preserve"> 2015</w:t>
            </w:r>
          </w:p>
        </w:tc>
      </w:tr>
      <w:tr w:rsidR="001B28C7" w:rsidRPr="004D2CD6" w:rsidTr="00A80AAD">
        <w:tc>
          <w:tcPr>
            <w:tcW w:w="1984" w:type="dxa"/>
            <w:tcBorders>
              <w:top w:val="single" w:sz="18" w:space="0" w:color="auto"/>
            </w:tcBorders>
          </w:tcPr>
          <w:p w:rsidR="001B28C7" w:rsidRPr="004D2CD6" w:rsidRDefault="001B28C7" w:rsidP="00624491">
            <w:pPr>
              <w:ind w:firstLine="0"/>
              <w:jc w:val="lowKashida"/>
              <w:outlineLvl w:val="0"/>
              <w:rPr>
                <w:rFonts w:ascii="Simplified Arabic" w:hAnsi="Simplified Arabic" w:cs="Simplified Arabic"/>
                <w:b/>
                <w:bCs/>
                <w:rtl/>
              </w:rPr>
            </w:pPr>
            <w:r w:rsidRPr="004D2CD6">
              <w:rPr>
                <w:rFonts w:ascii="Simplified Arabic" w:hAnsi="Simplified Arabic" w:cs="Simplified Arabic"/>
                <w:b/>
                <w:bCs/>
                <w:rtl/>
              </w:rPr>
              <w:t>إجمالي إيرادات المقاصة</w:t>
            </w:r>
          </w:p>
        </w:tc>
        <w:tc>
          <w:tcPr>
            <w:tcW w:w="991" w:type="dxa"/>
            <w:tcBorders>
              <w:top w:val="single" w:sz="18" w:space="0" w:color="auto"/>
            </w:tcBorders>
          </w:tcPr>
          <w:p w:rsidR="001B28C7" w:rsidRPr="004D2CD6" w:rsidRDefault="001B28C7" w:rsidP="00F77884">
            <w:pPr>
              <w:ind w:firstLine="0"/>
              <w:jc w:val="center"/>
              <w:outlineLvl w:val="0"/>
              <w:rPr>
                <w:rFonts w:ascii="Simplified Arabic" w:hAnsi="Simplified Arabic" w:cs="Simplified Arabic"/>
                <w:b/>
                <w:bCs/>
                <w:rtl/>
              </w:rPr>
            </w:pPr>
            <w:r w:rsidRPr="004D2CD6">
              <w:rPr>
                <w:rFonts w:ascii="Simplified Arabic" w:hAnsi="Simplified Arabic" w:cs="Simplified Arabic"/>
                <w:b/>
                <w:bCs/>
                <w:rtl/>
              </w:rPr>
              <w:t>6103</w:t>
            </w:r>
          </w:p>
        </w:tc>
        <w:tc>
          <w:tcPr>
            <w:tcW w:w="993" w:type="dxa"/>
            <w:tcBorders>
              <w:top w:val="single" w:sz="18" w:space="0" w:color="auto"/>
            </w:tcBorders>
          </w:tcPr>
          <w:p w:rsidR="001B28C7" w:rsidRPr="004D2CD6" w:rsidRDefault="001B28C7" w:rsidP="00F77884">
            <w:pPr>
              <w:ind w:firstLine="0"/>
              <w:jc w:val="center"/>
              <w:outlineLvl w:val="0"/>
              <w:rPr>
                <w:rFonts w:ascii="Simplified Arabic" w:hAnsi="Simplified Arabic" w:cs="Simplified Arabic"/>
                <w:b/>
                <w:bCs/>
                <w:rtl/>
              </w:rPr>
            </w:pPr>
            <w:r w:rsidRPr="004D2CD6">
              <w:rPr>
                <w:rFonts w:ascii="Simplified Arabic" w:hAnsi="Simplified Arabic" w:cs="Simplified Arabic"/>
                <w:b/>
                <w:bCs/>
                <w:rtl/>
              </w:rPr>
              <w:t>7331</w:t>
            </w:r>
          </w:p>
        </w:tc>
        <w:tc>
          <w:tcPr>
            <w:tcW w:w="851" w:type="dxa"/>
            <w:tcBorders>
              <w:top w:val="single" w:sz="18" w:space="0" w:color="auto"/>
            </w:tcBorders>
          </w:tcPr>
          <w:p w:rsidR="001B28C7" w:rsidRPr="004D2CD6" w:rsidRDefault="001B28C7" w:rsidP="00F77884">
            <w:pPr>
              <w:ind w:firstLine="0"/>
              <w:jc w:val="center"/>
              <w:outlineLvl w:val="0"/>
              <w:rPr>
                <w:rFonts w:ascii="Simplified Arabic" w:hAnsi="Simplified Arabic" w:cs="Simplified Arabic"/>
                <w:b/>
                <w:bCs/>
                <w:rtl/>
              </w:rPr>
            </w:pPr>
            <w:r w:rsidRPr="004D2CD6">
              <w:rPr>
                <w:rFonts w:ascii="Simplified Arabic" w:hAnsi="Simplified Arabic" w:cs="Simplified Arabic"/>
                <w:b/>
                <w:bCs/>
                <w:rtl/>
              </w:rPr>
              <w:t>20%</w:t>
            </w:r>
          </w:p>
        </w:tc>
        <w:tc>
          <w:tcPr>
            <w:tcW w:w="992" w:type="dxa"/>
            <w:tcBorders>
              <w:top w:val="single" w:sz="18" w:space="0" w:color="auto"/>
            </w:tcBorders>
          </w:tcPr>
          <w:p w:rsidR="001B28C7" w:rsidRPr="004D2CD6" w:rsidRDefault="001B28C7" w:rsidP="00F77884">
            <w:pPr>
              <w:ind w:firstLine="0"/>
              <w:jc w:val="center"/>
              <w:outlineLvl w:val="0"/>
              <w:rPr>
                <w:rFonts w:ascii="Simplified Arabic" w:hAnsi="Simplified Arabic" w:cs="Simplified Arabic"/>
                <w:b/>
                <w:bCs/>
                <w:rtl/>
              </w:rPr>
            </w:pPr>
            <w:r w:rsidRPr="004D2CD6">
              <w:rPr>
                <w:rFonts w:ascii="Simplified Arabic" w:hAnsi="Simplified Arabic" w:cs="Simplified Arabic"/>
                <w:b/>
                <w:bCs/>
                <w:rtl/>
              </w:rPr>
              <w:t>1892.0</w:t>
            </w:r>
          </w:p>
        </w:tc>
        <w:tc>
          <w:tcPr>
            <w:tcW w:w="992" w:type="dxa"/>
            <w:tcBorders>
              <w:top w:val="single" w:sz="18" w:space="0" w:color="auto"/>
            </w:tcBorders>
          </w:tcPr>
          <w:p w:rsidR="001B28C7" w:rsidRPr="004D2CD6" w:rsidRDefault="001B28C7" w:rsidP="00F77884">
            <w:pPr>
              <w:ind w:firstLine="0"/>
              <w:jc w:val="center"/>
              <w:outlineLvl w:val="0"/>
              <w:rPr>
                <w:rFonts w:ascii="Simplified Arabic" w:hAnsi="Simplified Arabic" w:cs="Simplified Arabic"/>
                <w:b/>
                <w:bCs/>
                <w:rtl/>
              </w:rPr>
            </w:pPr>
            <w:r w:rsidRPr="004D2CD6">
              <w:rPr>
                <w:rFonts w:ascii="Simplified Arabic" w:hAnsi="Simplified Arabic" w:cs="Simplified Arabic"/>
                <w:b/>
                <w:bCs/>
                <w:rtl/>
              </w:rPr>
              <w:t>1991.8</w:t>
            </w:r>
          </w:p>
        </w:tc>
      </w:tr>
      <w:tr w:rsidR="001B28C7" w:rsidRPr="004D2CD6" w:rsidTr="00A80AAD">
        <w:tc>
          <w:tcPr>
            <w:tcW w:w="1984" w:type="dxa"/>
          </w:tcPr>
          <w:p w:rsidR="001B28C7" w:rsidRPr="004D2CD6" w:rsidRDefault="001B28C7" w:rsidP="00624491">
            <w:pPr>
              <w:ind w:firstLine="0"/>
              <w:jc w:val="lowKashida"/>
              <w:outlineLvl w:val="0"/>
              <w:rPr>
                <w:rFonts w:ascii="Simplified Arabic" w:hAnsi="Simplified Arabic" w:cs="Simplified Arabic"/>
                <w:rtl/>
              </w:rPr>
            </w:pPr>
            <w:r w:rsidRPr="004D2CD6">
              <w:rPr>
                <w:rFonts w:ascii="Simplified Arabic" w:hAnsi="Simplified Arabic" w:cs="Simplified Arabic"/>
                <w:rtl/>
              </w:rPr>
              <w:t>ضريبة الجمارك</w:t>
            </w:r>
          </w:p>
        </w:tc>
        <w:tc>
          <w:tcPr>
            <w:tcW w:w="991"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2073</w:t>
            </w:r>
          </w:p>
        </w:tc>
        <w:tc>
          <w:tcPr>
            <w:tcW w:w="993"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2520</w:t>
            </w:r>
          </w:p>
        </w:tc>
        <w:tc>
          <w:tcPr>
            <w:tcW w:w="851"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22%</w:t>
            </w:r>
          </w:p>
        </w:tc>
        <w:tc>
          <w:tcPr>
            <w:tcW w:w="992"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656.3</w:t>
            </w:r>
          </w:p>
        </w:tc>
        <w:tc>
          <w:tcPr>
            <w:tcW w:w="992"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740.1</w:t>
            </w:r>
          </w:p>
        </w:tc>
      </w:tr>
      <w:tr w:rsidR="001B28C7" w:rsidRPr="004D2CD6" w:rsidTr="00A80AAD">
        <w:tc>
          <w:tcPr>
            <w:tcW w:w="1984" w:type="dxa"/>
          </w:tcPr>
          <w:p w:rsidR="001B28C7" w:rsidRPr="004D2CD6" w:rsidRDefault="001B28C7" w:rsidP="00624491">
            <w:pPr>
              <w:ind w:firstLine="0"/>
              <w:jc w:val="lowKashida"/>
              <w:outlineLvl w:val="0"/>
              <w:rPr>
                <w:rFonts w:ascii="Simplified Arabic" w:hAnsi="Simplified Arabic" w:cs="Simplified Arabic"/>
                <w:rtl/>
              </w:rPr>
            </w:pPr>
            <w:r w:rsidRPr="004D2CD6">
              <w:rPr>
                <w:rFonts w:ascii="Simplified Arabic" w:hAnsi="Simplified Arabic" w:cs="Simplified Arabic"/>
                <w:rtl/>
              </w:rPr>
              <w:t>ضريبة القيمة المضافة</w:t>
            </w:r>
          </w:p>
        </w:tc>
        <w:tc>
          <w:tcPr>
            <w:tcW w:w="991"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2106</w:t>
            </w:r>
          </w:p>
        </w:tc>
        <w:tc>
          <w:tcPr>
            <w:tcW w:w="993"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2278</w:t>
            </w:r>
          </w:p>
        </w:tc>
        <w:tc>
          <w:tcPr>
            <w:tcW w:w="851"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13%</w:t>
            </w:r>
          </w:p>
        </w:tc>
        <w:tc>
          <w:tcPr>
            <w:tcW w:w="992"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578.4</w:t>
            </w:r>
          </w:p>
        </w:tc>
        <w:tc>
          <w:tcPr>
            <w:tcW w:w="992"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553.5</w:t>
            </w:r>
          </w:p>
        </w:tc>
      </w:tr>
      <w:tr w:rsidR="001B28C7" w:rsidRPr="004D2CD6" w:rsidTr="00A80AAD">
        <w:tc>
          <w:tcPr>
            <w:tcW w:w="1984" w:type="dxa"/>
          </w:tcPr>
          <w:p w:rsidR="001B28C7" w:rsidRPr="004D2CD6" w:rsidRDefault="001B28C7" w:rsidP="00624491">
            <w:pPr>
              <w:ind w:firstLine="0"/>
              <w:jc w:val="lowKashida"/>
              <w:outlineLvl w:val="0"/>
              <w:rPr>
                <w:rFonts w:ascii="Simplified Arabic" w:hAnsi="Simplified Arabic" w:cs="Simplified Arabic"/>
                <w:rtl/>
              </w:rPr>
            </w:pPr>
            <w:r w:rsidRPr="004D2CD6">
              <w:rPr>
                <w:rFonts w:ascii="Simplified Arabic" w:hAnsi="Simplified Arabic" w:cs="Simplified Arabic"/>
                <w:rtl/>
              </w:rPr>
              <w:t>ضريبة الشراء</w:t>
            </w:r>
          </w:p>
        </w:tc>
        <w:tc>
          <w:tcPr>
            <w:tcW w:w="991"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3</w:t>
            </w:r>
          </w:p>
        </w:tc>
        <w:tc>
          <w:tcPr>
            <w:tcW w:w="993"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7</w:t>
            </w:r>
          </w:p>
        </w:tc>
        <w:tc>
          <w:tcPr>
            <w:tcW w:w="851"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160%</w:t>
            </w:r>
          </w:p>
        </w:tc>
        <w:tc>
          <w:tcPr>
            <w:tcW w:w="992"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-7.5</w:t>
            </w:r>
          </w:p>
        </w:tc>
        <w:tc>
          <w:tcPr>
            <w:tcW w:w="992"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2.7</w:t>
            </w:r>
          </w:p>
        </w:tc>
      </w:tr>
      <w:tr w:rsidR="001B28C7" w:rsidRPr="004D2CD6" w:rsidTr="00A80AAD">
        <w:tc>
          <w:tcPr>
            <w:tcW w:w="1984" w:type="dxa"/>
          </w:tcPr>
          <w:p w:rsidR="001B28C7" w:rsidRPr="004D2CD6" w:rsidRDefault="001B28C7" w:rsidP="00624491">
            <w:pPr>
              <w:ind w:firstLine="0"/>
              <w:jc w:val="lowKashida"/>
              <w:outlineLvl w:val="0"/>
              <w:rPr>
                <w:rFonts w:ascii="Simplified Arabic" w:hAnsi="Simplified Arabic" w:cs="Simplified Arabic"/>
                <w:rtl/>
              </w:rPr>
            </w:pPr>
            <w:r w:rsidRPr="004D2CD6">
              <w:rPr>
                <w:rFonts w:ascii="Simplified Arabic" w:hAnsi="Simplified Arabic" w:cs="Simplified Arabic"/>
                <w:rtl/>
              </w:rPr>
              <w:t>ضريبة المحروقات</w:t>
            </w:r>
          </w:p>
        </w:tc>
        <w:tc>
          <w:tcPr>
            <w:tcW w:w="991"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1971</w:t>
            </w:r>
          </w:p>
        </w:tc>
        <w:tc>
          <w:tcPr>
            <w:tcW w:w="993"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2474</w:t>
            </w:r>
          </w:p>
        </w:tc>
        <w:tc>
          <w:tcPr>
            <w:tcW w:w="851"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26%</w:t>
            </w:r>
          </w:p>
        </w:tc>
        <w:tc>
          <w:tcPr>
            <w:tcW w:w="992"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658.2</w:t>
            </w:r>
          </w:p>
        </w:tc>
        <w:tc>
          <w:tcPr>
            <w:tcW w:w="992"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687.1</w:t>
            </w:r>
          </w:p>
        </w:tc>
      </w:tr>
      <w:tr w:rsidR="001B28C7" w:rsidRPr="004D2CD6" w:rsidTr="00A80AAD">
        <w:tc>
          <w:tcPr>
            <w:tcW w:w="1984" w:type="dxa"/>
          </w:tcPr>
          <w:p w:rsidR="001B28C7" w:rsidRPr="004D2CD6" w:rsidRDefault="001B28C7" w:rsidP="00624491">
            <w:pPr>
              <w:ind w:firstLine="0"/>
              <w:jc w:val="lowKashida"/>
              <w:outlineLvl w:val="0"/>
              <w:rPr>
                <w:rFonts w:ascii="Simplified Arabic" w:hAnsi="Simplified Arabic" w:cs="Simplified Arabic"/>
                <w:rtl/>
              </w:rPr>
            </w:pPr>
            <w:r w:rsidRPr="004D2CD6">
              <w:rPr>
                <w:rFonts w:ascii="Simplified Arabic" w:hAnsi="Simplified Arabic" w:cs="Simplified Arabic"/>
                <w:rtl/>
              </w:rPr>
              <w:t>ضريبة الدخل</w:t>
            </w:r>
          </w:p>
        </w:tc>
        <w:tc>
          <w:tcPr>
            <w:tcW w:w="991"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40</w:t>
            </w:r>
          </w:p>
        </w:tc>
        <w:tc>
          <w:tcPr>
            <w:tcW w:w="993"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51</w:t>
            </w:r>
          </w:p>
        </w:tc>
        <w:tc>
          <w:tcPr>
            <w:tcW w:w="851"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29%</w:t>
            </w:r>
          </w:p>
        </w:tc>
        <w:tc>
          <w:tcPr>
            <w:tcW w:w="992"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6.6</w:t>
            </w:r>
          </w:p>
        </w:tc>
        <w:tc>
          <w:tcPr>
            <w:tcW w:w="992"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8.4</w:t>
            </w:r>
          </w:p>
        </w:tc>
      </w:tr>
      <w:tr w:rsidR="001B28C7" w:rsidRPr="004D2CD6" w:rsidTr="00A80AAD">
        <w:tc>
          <w:tcPr>
            <w:tcW w:w="1984" w:type="dxa"/>
          </w:tcPr>
          <w:p w:rsidR="001B28C7" w:rsidRPr="004D2CD6" w:rsidRDefault="001B28C7" w:rsidP="00624491">
            <w:pPr>
              <w:ind w:firstLine="0"/>
              <w:jc w:val="lowKashida"/>
              <w:outlineLvl w:val="0"/>
              <w:rPr>
                <w:rFonts w:ascii="Simplified Arabic" w:hAnsi="Simplified Arabic" w:cs="Simplified Arabic"/>
                <w:rtl/>
              </w:rPr>
            </w:pPr>
            <w:r w:rsidRPr="004D2CD6">
              <w:rPr>
                <w:rFonts w:ascii="Simplified Arabic" w:hAnsi="Simplified Arabic" w:cs="Simplified Arabic"/>
                <w:rtl/>
              </w:rPr>
              <w:t>إجمالي الإيرادات المحلية</w:t>
            </w:r>
          </w:p>
        </w:tc>
        <w:tc>
          <w:tcPr>
            <w:tcW w:w="991"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9167.6</w:t>
            </w:r>
          </w:p>
        </w:tc>
        <w:tc>
          <w:tcPr>
            <w:tcW w:w="993"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10432.2</w:t>
            </w:r>
          </w:p>
        </w:tc>
        <w:tc>
          <w:tcPr>
            <w:tcW w:w="851"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w:t>
            </w:r>
          </w:p>
        </w:tc>
        <w:tc>
          <w:tcPr>
            <w:tcW w:w="992"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2798.1</w:t>
            </w:r>
          </w:p>
        </w:tc>
        <w:tc>
          <w:tcPr>
            <w:tcW w:w="992"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2579.1</w:t>
            </w:r>
          </w:p>
        </w:tc>
      </w:tr>
      <w:tr w:rsidR="001B28C7" w:rsidRPr="004D2CD6" w:rsidTr="00A80AAD">
        <w:tc>
          <w:tcPr>
            <w:tcW w:w="1984" w:type="dxa"/>
          </w:tcPr>
          <w:p w:rsidR="001B28C7" w:rsidRPr="004D2CD6" w:rsidRDefault="001B28C7" w:rsidP="00624491">
            <w:pPr>
              <w:ind w:firstLine="0"/>
              <w:jc w:val="lowKashida"/>
              <w:outlineLvl w:val="0"/>
              <w:rPr>
                <w:rFonts w:ascii="Simplified Arabic" w:hAnsi="Simplified Arabic" w:cs="Simplified Arabic"/>
                <w:rtl/>
              </w:rPr>
            </w:pPr>
            <w:r w:rsidRPr="004D2CD6">
              <w:rPr>
                <w:rFonts w:ascii="Simplified Arabic" w:hAnsi="Simplified Arabic" w:cs="Simplified Arabic"/>
                <w:rtl/>
              </w:rPr>
              <w:t>ايرادات المقاصة كنسبة من إجمالي الإيرادات المحلية</w:t>
            </w:r>
          </w:p>
        </w:tc>
        <w:tc>
          <w:tcPr>
            <w:tcW w:w="991"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66.5%</w:t>
            </w:r>
          </w:p>
        </w:tc>
        <w:tc>
          <w:tcPr>
            <w:tcW w:w="993"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70.3%</w:t>
            </w:r>
          </w:p>
        </w:tc>
        <w:tc>
          <w:tcPr>
            <w:tcW w:w="851"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w:t>
            </w:r>
          </w:p>
        </w:tc>
        <w:tc>
          <w:tcPr>
            <w:tcW w:w="992"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67.6%</w:t>
            </w:r>
          </w:p>
        </w:tc>
        <w:tc>
          <w:tcPr>
            <w:tcW w:w="992" w:type="dxa"/>
          </w:tcPr>
          <w:p w:rsidR="001B28C7" w:rsidRPr="004D2CD6" w:rsidRDefault="001B28C7" w:rsidP="00F77884">
            <w:pPr>
              <w:ind w:firstLine="0"/>
              <w:jc w:val="center"/>
              <w:outlineLvl w:val="0"/>
              <w:rPr>
                <w:rFonts w:ascii="Simplified Arabic" w:hAnsi="Simplified Arabic" w:cs="Simplified Arabic"/>
                <w:rtl/>
              </w:rPr>
            </w:pPr>
            <w:r w:rsidRPr="004D2CD6">
              <w:rPr>
                <w:rFonts w:ascii="Simplified Arabic" w:hAnsi="Simplified Arabic" w:cs="Simplified Arabic"/>
                <w:rtl/>
              </w:rPr>
              <w:t>77.2%</w:t>
            </w:r>
          </w:p>
        </w:tc>
      </w:tr>
    </w:tbl>
    <w:p w:rsidR="001B28C7" w:rsidRPr="00194F56" w:rsidRDefault="001B28C7" w:rsidP="00624491">
      <w:pPr>
        <w:tabs>
          <w:tab w:val="left" w:pos="400"/>
        </w:tabs>
        <w:spacing w:after="0" w:line="240" w:lineRule="auto"/>
        <w:ind w:firstLine="567"/>
        <w:jc w:val="lowKashida"/>
        <w:rPr>
          <w:rFonts w:ascii="Simplified Arabic" w:hAnsi="Simplified Arabic" w:cs="Simplified Arabic"/>
          <w:b/>
          <w:bCs/>
          <w:sz w:val="20"/>
          <w:szCs w:val="20"/>
          <w:rtl/>
          <w:lang w:bidi="ar-IQ"/>
        </w:rPr>
      </w:pPr>
      <w:r w:rsidRPr="00194F56">
        <w:rPr>
          <w:rFonts w:ascii="Simplified Arabic" w:hAnsi="Simplified Arabic" w:cs="Simplified Arabic"/>
          <w:b/>
          <w:bCs/>
          <w:sz w:val="20"/>
          <w:szCs w:val="20"/>
          <w:rtl/>
        </w:rPr>
        <w:tab/>
        <w:t>المصدر : وزارة المالية (التقارير المالية الشهرية والربعية والسنوية) سنوات مختلفة.</w:t>
      </w:r>
    </w:p>
    <w:p w:rsidR="001B28C7" w:rsidRPr="00236FEE" w:rsidRDefault="001B28C7" w:rsidP="00624491">
      <w:pPr>
        <w:spacing w:after="120" w:line="240" w:lineRule="auto"/>
        <w:ind w:firstLine="567"/>
        <w:jc w:val="lowKashida"/>
        <w:rPr>
          <w:rFonts w:ascii="Simplified Arabic" w:hAnsi="Simplified Arabic" w:cs="Simplified Arabic"/>
          <w:sz w:val="24"/>
          <w:szCs w:val="24"/>
        </w:rPr>
      </w:pPr>
      <w:r w:rsidRPr="00236FEE">
        <w:rPr>
          <w:rFonts w:ascii="Simplified Arabic" w:hAnsi="Simplified Arabic" w:cs="Simplified Arabic"/>
          <w:b/>
          <w:bCs/>
          <w:sz w:val="24"/>
          <w:szCs w:val="24"/>
          <w:rtl/>
        </w:rPr>
        <w:t>التهديد الثاني</w:t>
      </w:r>
      <w:r w:rsidRPr="00236FEE">
        <w:rPr>
          <w:rFonts w:ascii="Simplified Arabic" w:hAnsi="Simplified Arabic" w:cs="Simplified Arabic"/>
          <w:sz w:val="24"/>
          <w:szCs w:val="24"/>
          <w:rtl/>
        </w:rPr>
        <w:t xml:space="preserve"> : يتعلّق بالتسرّب المالي من خزينة السلطة الفلسطينية،  حيث تعاني هذه الأخيرة من خسائر مالية كبيرة ناجمة عن ضياع حصيلة قيمة ضريبة القيمة المضافة وضريبة الشراء وجمارك المستوردات بسبب الاستيراد غير المباشر عبر إسرائيل، وهذا التسرّب المالي ناتج عن أنّ إسرائيل لا تزوّد السلطة بالمعلومات الكافية عن حجم الاستيراد والجهة الّتي قامت بذلك، لأنّ اتفاق باريس لا يلزمها بذلك، إضافةً إلى أنّ بعض التجار لا </w:t>
      </w:r>
      <w:r w:rsidRPr="00236FEE">
        <w:rPr>
          <w:rFonts w:ascii="Simplified Arabic" w:hAnsi="Simplified Arabic" w:cs="Simplified Arabic"/>
          <w:sz w:val="24"/>
          <w:szCs w:val="24"/>
          <w:rtl/>
        </w:rPr>
        <w:lastRenderedPageBreak/>
        <w:t>يسلّمون فواتير المقاصة لوزارة الماليّة، حيث تدفع إسرائيل الضرائب على أساس الفواتير، وذلك حتى لا يكشفون عن حجم أعمالهم، الّتي يدفعون من خلالها ضريبة الدخل</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rPr>
        <w:footnoteReference w:id="7"/>
      </w:r>
      <w:r w:rsidRPr="00236FEE">
        <w:rPr>
          <w:rFonts w:ascii="Simplified Arabic" w:hAnsi="Simplified Arabic" w:cs="Simplified Arabic"/>
          <w:sz w:val="24"/>
          <w:szCs w:val="24"/>
          <w:vertAlign w:val="superscript"/>
          <w:rtl/>
        </w:rPr>
        <w:t>)</w:t>
      </w:r>
      <w:r w:rsidRPr="00236FEE">
        <w:rPr>
          <w:rFonts w:ascii="Simplified Arabic" w:hAnsi="Simplified Arabic" w:cs="Simplified Arabic"/>
          <w:sz w:val="24"/>
          <w:szCs w:val="24"/>
        </w:rPr>
        <w:t>.</w:t>
      </w:r>
    </w:p>
    <w:p w:rsidR="001B28C7" w:rsidRPr="00236FEE" w:rsidRDefault="001B28C7" w:rsidP="00624491">
      <w:pPr>
        <w:spacing w:after="12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t>ومن مصادر التسرّب المالي أيضاً البضائع المهرّبة من السوق الإسرائيلي،  والّتي تُقدّر قيمتها ما بين 25-35% من مجموع المستوردات من إسرائيل، حيث أنّ البضائع المنتجة في إسرائيل والمهرّبة إلى السوق الفلسطيني ينتج عنها خسائر كافة الضرائب غير المباشرة (القيمة المضافة والجمارك وضريبة الشراء)، بينما البضائع التي منشؤها بلد ثالث تكون الخسائر فقط في الجمارك وضريبة الشراء في حال تم استيرادها من إسرائيل بموجب فاتورة مقاصة،  والمعضلة هنا أنّ السلطة الفلسطينيّة لا تستطيع إجراء رقابة على حركة مرور البضائع إلى السوق الفلسطينيّة، بسبب عدم تواجدها على المعابر الدوليّة، وعدم وجود حدود داخليّة مع السوق الإسرائيلي، وهذا الأمر يزيد من حدّة تهريب البضائع من الأسواق والمستوطنات الإسرائيليّة</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rPr>
        <w:footnoteReference w:id="8"/>
      </w:r>
      <w:r w:rsidRPr="00236FEE">
        <w:rPr>
          <w:rFonts w:ascii="Simplified Arabic" w:hAnsi="Simplified Arabic" w:cs="Simplified Arabic"/>
          <w:sz w:val="24"/>
          <w:szCs w:val="24"/>
          <w:vertAlign w:val="superscript"/>
          <w:rtl/>
        </w:rPr>
        <w:t>)</w:t>
      </w:r>
      <w:r w:rsidRPr="00236FEE">
        <w:rPr>
          <w:rFonts w:ascii="Simplified Arabic" w:hAnsi="Simplified Arabic" w:cs="Simplified Arabic"/>
          <w:sz w:val="24"/>
          <w:szCs w:val="24"/>
          <w:rtl/>
        </w:rPr>
        <w:t>.</w:t>
      </w:r>
    </w:p>
    <w:p w:rsidR="001B28C7" w:rsidRPr="00236FEE" w:rsidRDefault="001B28C7" w:rsidP="00624491">
      <w:pPr>
        <w:spacing w:after="120" w:line="240" w:lineRule="auto"/>
        <w:ind w:firstLine="567"/>
        <w:jc w:val="lowKashida"/>
        <w:rPr>
          <w:rFonts w:ascii="Simplified Arabic" w:hAnsi="Simplified Arabic" w:cs="Simplified Arabic"/>
          <w:sz w:val="24"/>
          <w:szCs w:val="24"/>
          <w:lang w:bidi="ar-IQ"/>
        </w:rPr>
      </w:pPr>
      <w:r w:rsidRPr="00236FEE">
        <w:rPr>
          <w:rFonts w:ascii="Simplified Arabic" w:hAnsi="Simplified Arabic" w:cs="Simplified Arabic"/>
          <w:sz w:val="24"/>
          <w:szCs w:val="24"/>
          <w:rtl/>
        </w:rPr>
        <w:t xml:space="preserve">هناك العديد من التقديرات لهذا التسرّب المالي للضرائب المباشرة وغير المباشرة المدفوعة من قبل المستهلك الفلسطيني والمحجوزة من قبل الجانب الإسرائيلي، وفي دراسة حديثة </w:t>
      </w:r>
      <w:proofErr w:type="spellStart"/>
      <w:r w:rsidRPr="00236FEE">
        <w:rPr>
          <w:rFonts w:ascii="Simplified Arabic" w:hAnsi="Simplified Arabic" w:cs="Simplified Arabic"/>
          <w:sz w:val="24"/>
          <w:szCs w:val="24"/>
          <w:rtl/>
        </w:rPr>
        <w:t>للأونكتاد</w:t>
      </w:r>
      <w:proofErr w:type="spellEnd"/>
      <w:r w:rsidRPr="00236FEE">
        <w:rPr>
          <w:rFonts w:ascii="Simplified Arabic" w:hAnsi="Simplified Arabic" w:cs="Simplified Arabic"/>
          <w:sz w:val="24"/>
          <w:szCs w:val="24"/>
          <w:rtl/>
        </w:rPr>
        <w:t xml:space="preserve"> أجريت نهاية العام 2014،قدّرت خسائر الخزينة الفلسطينيّة بسبب اتفاق باريس الاقتصادي بحوالي 306 مليون دولار سنويّاً على الأقل، أي ما يعادل 17% من إيرادات الضرائب للسلطة الفلسطينيّة، وهذا يشكل 3.6% من الناتج المحلّي الإجمالي</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rPr>
        <w:footnoteReference w:id="9"/>
      </w:r>
      <w:r w:rsidRPr="00236FEE">
        <w:rPr>
          <w:rFonts w:ascii="Simplified Arabic" w:hAnsi="Simplified Arabic" w:cs="Simplified Arabic"/>
          <w:sz w:val="24"/>
          <w:szCs w:val="24"/>
          <w:vertAlign w:val="superscript"/>
          <w:rtl/>
        </w:rPr>
        <w:t>)</w:t>
      </w:r>
      <w:r w:rsidRPr="00236FEE">
        <w:rPr>
          <w:rFonts w:ascii="Simplified Arabic" w:hAnsi="Simplified Arabic" w:cs="Simplified Arabic"/>
          <w:sz w:val="24"/>
          <w:szCs w:val="24"/>
          <w:rtl/>
          <w:lang w:bidi="ar-IQ"/>
        </w:rPr>
        <w:t>.</w:t>
      </w:r>
    </w:p>
    <w:p w:rsidR="001B28C7" w:rsidRPr="00236FEE" w:rsidRDefault="001B28C7" w:rsidP="00F77884">
      <w:pPr>
        <w:spacing w:after="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t xml:space="preserve">إضافةً للخسائر الماليّة، فإنّ هناك تكاليف و خسائر اقتصادية إضافيّة لهذا التسرّب المالي، وهي تتمثّل في الزيادة في الناتج المحلّي الإجمالي وزيادة نسبة التشغيل، والتي كان يمكن للاقتصاد الفلسطيني أنْ يحقّقها لو تمّ توقيف هذا التسرّب المالي، ولو تمّ تحويل هذه </w:t>
      </w:r>
      <w:r w:rsidRPr="00236FEE">
        <w:rPr>
          <w:rFonts w:ascii="Simplified Arabic" w:hAnsi="Simplified Arabic" w:cs="Simplified Arabic"/>
          <w:sz w:val="24"/>
          <w:szCs w:val="24"/>
          <w:rtl/>
        </w:rPr>
        <w:lastRenderedPageBreak/>
        <w:t>الإيرادات من الخزينة الإسرائيليّة إلى الخزينة الفلسطينية، فالتقديرات تشير أنّه لو تمّ منع هذا التسرّب وأمكن توفير هذه الإيرادات العامّة للسلطة الفلسطينيّة، لكان من الممكن أنْ يزيد الناتج المحلّي الإجمالي بنسبة 4%، وخلق ما يعادل 10000 فرصة عمل إضافيّة كل عام، هذا بالإضافة إلى أنّ هذا التسرّب المالي يزيد من هشاشة الوضع المالي للسلطة الوطنيّة الفلسطينيّة، ويقلّل من قدرتها على التخطيط المالي والإنفاق على الموازنات التطويريّة، ويضع الاقتصاد كلّه في مرحلة نموّ حرجة لا يمكن الخروج منها، ويبقيه عرضةً لتأثير السياسات الاقتصادية والمالية الإسرائيلية</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rPr>
        <w:footnoteReference w:id="10"/>
      </w:r>
      <w:r w:rsidRPr="00236FEE">
        <w:rPr>
          <w:rFonts w:ascii="Simplified Arabic" w:hAnsi="Simplified Arabic" w:cs="Simplified Arabic"/>
          <w:sz w:val="24"/>
          <w:szCs w:val="24"/>
          <w:vertAlign w:val="superscript"/>
          <w:rtl/>
        </w:rPr>
        <w:t>)</w:t>
      </w:r>
      <w:r w:rsidRPr="00236FEE">
        <w:rPr>
          <w:rFonts w:ascii="Simplified Arabic" w:hAnsi="Simplified Arabic" w:cs="Simplified Arabic"/>
          <w:sz w:val="24"/>
          <w:szCs w:val="24"/>
          <w:rtl/>
        </w:rPr>
        <w:t>.</w:t>
      </w:r>
    </w:p>
    <w:p w:rsidR="001B28C7" w:rsidRPr="00F467D9" w:rsidRDefault="001B28C7" w:rsidP="00F77884">
      <w:pPr>
        <w:pStyle w:val="a7"/>
        <w:numPr>
          <w:ilvl w:val="0"/>
          <w:numId w:val="6"/>
        </w:numPr>
        <w:spacing w:after="0" w:line="240" w:lineRule="auto"/>
        <w:ind w:left="0" w:firstLine="567"/>
        <w:jc w:val="lowKashida"/>
        <w:rPr>
          <w:rFonts w:ascii="Simplified Arabic" w:hAnsi="Simplified Arabic" w:cs="Simplified Arabic"/>
          <w:sz w:val="28"/>
          <w:szCs w:val="28"/>
          <w:lang w:bidi="ar-IQ"/>
        </w:rPr>
      </w:pPr>
      <w:r w:rsidRPr="00F467D9">
        <w:rPr>
          <w:rFonts w:ascii="Simplified Arabic" w:hAnsi="Simplified Arabic" w:cs="Simplified Arabic"/>
          <w:b/>
          <w:bCs/>
          <w:sz w:val="28"/>
          <w:szCs w:val="28"/>
          <w:rtl/>
          <w:lang w:bidi="ar-IQ"/>
        </w:rPr>
        <w:t>التبعيّة النقديّة لإسرائيل:</w:t>
      </w:r>
    </w:p>
    <w:p w:rsidR="001B28C7" w:rsidRPr="00236FEE" w:rsidRDefault="001B28C7" w:rsidP="00F77884">
      <w:pPr>
        <w:spacing w:after="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t xml:space="preserve">قبل احتلال الأراضي الفلسطينية  في العام 1967، كانت العملات المتداولة في الضفة الغربية وقطاع غزة هي الدينار الأردني والجنيه المصري، وبعد فرض الاحتلال الإسرائيلي سيطرته وحكمه على المناطق الفلسطينية، أصبحت العملات المتداولة هي الشيكل الإسرائيلي الجديد إلى جانب الدينار الأردني والدولار، وبعد قدوم السلطة الفلسطينية في العام 1994 وحتى الآن، بقيت مناطق السلطة الفلسطينية بدون عملة وطنية، نتيجة إحالة النظر في إدخال عملة فلسطينية مستقلة إلى التداول إلى اللجنة الاقتصادية المشتركة، التي لم تجتمع مطلقاً للنظر في </w:t>
      </w:r>
      <w:r w:rsidRPr="00236FEE">
        <w:rPr>
          <w:rFonts w:ascii="Simplified Arabic" w:hAnsi="Simplified Arabic" w:cs="Simplified Arabic"/>
          <w:sz w:val="24"/>
          <w:szCs w:val="24"/>
          <w:rtl/>
          <w:lang w:bidi="ar-IQ"/>
        </w:rPr>
        <w:t>أيٍّ من</w:t>
      </w:r>
      <w:r w:rsidRPr="00236FEE">
        <w:rPr>
          <w:rFonts w:ascii="Simplified Arabic" w:hAnsi="Simplified Arabic" w:cs="Simplified Arabic"/>
          <w:sz w:val="24"/>
          <w:szCs w:val="24"/>
          <w:rtl/>
        </w:rPr>
        <w:t xml:space="preserve"> القضايا العالقة بين الجانبين</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rPr>
        <w:footnoteReference w:id="11"/>
      </w:r>
      <w:r w:rsidRPr="00236FEE">
        <w:rPr>
          <w:rFonts w:ascii="Simplified Arabic" w:hAnsi="Simplified Arabic" w:cs="Simplified Arabic"/>
          <w:sz w:val="24"/>
          <w:szCs w:val="24"/>
          <w:vertAlign w:val="superscript"/>
          <w:rtl/>
        </w:rPr>
        <w:t>)</w:t>
      </w:r>
      <w:r w:rsidRPr="00236FEE">
        <w:rPr>
          <w:rFonts w:ascii="Simplified Arabic" w:hAnsi="Simplified Arabic" w:cs="Simplified Arabic"/>
          <w:sz w:val="24"/>
          <w:szCs w:val="24"/>
          <w:rtl/>
        </w:rPr>
        <w:t>.</w:t>
      </w:r>
    </w:p>
    <w:p w:rsidR="001B28C7" w:rsidRPr="00236FEE" w:rsidRDefault="001B28C7" w:rsidP="00F77884">
      <w:pPr>
        <w:spacing w:after="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t xml:space="preserve">إنّ غياب عملة وطنيّة مستقلة، وتداول عدة عملات أجنبية تُعتبر من أخطر التحدّيات التي تواجه الاقتصاد الفلسطيني، فبالإضافة إلى الاعتبارات السياسية، حيث تمثل العملة الوطنية رمزاً للسيادة والاستقلال، فإنّ غياب العملة الوطنية الفلسطينية له تداعيات وآثار خطيرة على الاقتصاد الفلسطيني، </w:t>
      </w:r>
      <w:proofErr w:type="spellStart"/>
      <w:r w:rsidRPr="00236FEE">
        <w:rPr>
          <w:rFonts w:ascii="Simplified Arabic" w:hAnsi="Simplified Arabic" w:cs="Simplified Arabic"/>
          <w:sz w:val="24"/>
          <w:szCs w:val="24"/>
          <w:rtl/>
        </w:rPr>
        <w:t>تتمث</w:t>
      </w:r>
      <w:proofErr w:type="spellEnd"/>
      <w:r w:rsidRPr="00236FEE">
        <w:rPr>
          <w:rFonts w:ascii="Simplified Arabic" w:hAnsi="Simplified Arabic" w:cs="Simplified Arabic"/>
          <w:sz w:val="24"/>
          <w:szCs w:val="24"/>
          <w:rtl/>
          <w:lang w:bidi="ar-IQ"/>
        </w:rPr>
        <w:t>ّ</w:t>
      </w:r>
      <w:r w:rsidRPr="00236FEE">
        <w:rPr>
          <w:rFonts w:ascii="Simplified Arabic" w:hAnsi="Simplified Arabic" w:cs="Simplified Arabic"/>
          <w:sz w:val="24"/>
          <w:szCs w:val="24"/>
          <w:rtl/>
        </w:rPr>
        <w:t>ل فيما يلي:</w:t>
      </w:r>
    </w:p>
    <w:p w:rsidR="001B28C7" w:rsidRPr="00236FEE" w:rsidRDefault="001B28C7" w:rsidP="00F77884">
      <w:pPr>
        <w:pStyle w:val="a7"/>
        <w:numPr>
          <w:ilvl w:val="0"/>
          <w:numId w:val="13"/>
        </w:numPr>
        <w:spacing w:after="0" w:line="240" w:lineRule="auto"/>
        <w:ind w:left="0" w:firstLine="567"/>
        <w:jc w:val="lowKashida"/>
        <w:rPr>
          <w:rFonts w:ascii="Simplified Arabic" w:hAnsi="Simplified Arabic" w:cs="Simplified Arabic"/>
          <w:sz w:val="24"/>
          <w:szCs w:val="24"/>
        </w:rPr>
      </w:pPr>
      <w:r w:rsidRPr="00236FEE">
        <w:rPr>
          <w:rFonts w:ascii="Simplified Arabic" w:hAnsi="Simplified Arabic" w:cs="Simplified Arabic"/>
          <w:sz w:val="24"/>
          <w:szCs w:val="24"/>
          <w:rtl/>
        </w:rPr>
        <w:t xml:space="preserve">غياب العملة الوطنية يحرم السلطة الفلسطينية من عائد الإصدار أو إيراد </w:t>
      </w:r>
      <w:r w:rsidR="00F467D9">
        <w:rPr>
          <w:rFonts w:ascii="Simplified Arabic" w:hAnsi="Simplified Arabic" w:cs="Simplified Arabic" w:hint="cs"/>
          <w:sz w:val="24"/>
          <w:szCs w:val="24"/>
          <w:rtl/>
        </w:rPr>
        <w:t>ص</w:t>
      </w:r>
      <w:r w:rsidRPr="00236FEE">
        <w:rPr>
          <w:rFonts w:ascii="Simplified Arabic" w:hAnsi="Simplified Arabic" w:cs="Simplified Arabic"/>
          <w:sz w:val="24"/>
          <w:szCs w:val="24"/>
          <w:rtl/>
        </w:rPr>
        <w:t xml:space="preserve">ك العملة </w:t>
      </w:r>
      <w:r w:rsidRPr="00236FEE">
        <w:rPr>
          <w:rFonts w:ascii="Simplified Arabic" w:hAnsi="Simplified Arabic" w:cs="Simplified Arabic"/>
          <w:sz w:val="24"/>
          <w:szCs w:val="24"/>
        </w:rPr>
        <w:t>(</w:t>
      </w:r>
      <w:proofErr w:type="spellStart"/>
      <w:r w:rsidRPr="00236FEE">
        <w:rPr>
          <w:rFonts w:ascii="Simplified Arabic" w:hAnsi="Simplified Arabic" w:cs="Simplified Arabic"/>
          <w:sz w:val="24"/>
          <w:szCs w:val="24"/>
        </w:rPr>
        <w:t>Seigniorage</w:t>
      </w:r>
      <w:proofErr w:type="spellEnd"/>
      <w:r w:rsidRPr="00236FEE">
        <w:rPr>
          <w:rFonts w:ascii="Simplified Arabic" w:hAnsi="Simplified Arabic" w:cs="Simplified Arabic"/>
          <w:sz w:val="24"/>
          <w:szCs w:val="24"/>
        </w:rPr>
        <w:t>)</w:t>
      </w:r>
      <w:r w:rsidRPr="00236FEE">
        <w:rPr>
          <w:rFonts w:ascii="Simplified Arabic" w:hAnsi="Simplified Arabic" w:cs="Simplified Arabic"/>
          <w:sz w:val="24"/>
          <w:szCs w:val="24"/>
          <w:rtl/>
        </w:rPr>
        <w:t xml:space="preserve">، ويحرمها من إصدار سندات وأذونات خزينة بالعملة المحلية، لتمويل عجز الموازنة </w:t>
      </w:r>
      <w:proofErr w:type="spellStart"/>
      <w:r w:rsidRPr="00236FEE">
        <w:rPr>
          <w:rFonts w:ascii="Simplified Arabic" w:hAnsi="Simplified Arabic" w:cs="Simplified Arabic"/>
          <w:sz w:val="24"/>
          <w:szCs w:val="24"/>
          <w:rtl/>
        </w:rPr>
        <w:t>وإدارة</w:t>
      </w:r>
      <w:proofErr w:type="spellEnd"/>
      <w:r w:rsidRPr="00236FEE">
        <w:rPr>
          <w:rFonts w:ascii="Simplified Arabic" w:hAnsi="Simplified Arabic" w:cs="Simplified Arabic"/>
          <w:sz w:val="24"/>
          <w:szCs w:val="24"/>
          <w:rtl/>
        </w:rPr>
        <w:t xml:space="preserve"> السياسة المالية العامة بشكل أفضل وتقليل حجم الاعتماد على </w:t>
      </w:r>
      <w:r w:rsidRPr="00236FEE">
        <w:rPr>
          <w:rFonts w:ascii="Simplified Arabic" w:hAnsi="Simplified Arabic" w:cs="Simplified Arabic"/>
          <w:sz w:val="24"/>
          <w:szCs w:val="24"/>
          <w:rtl/>
        </w:rPr>
        <w:lastRenderedPageBreak/>
        <w:t>الخارج، والذي سيعمل بدوره على تنشيط الأسواق المالية وتنشيط السوق بين المصارف، ممّا ينعكس إيجابيّاً على الاقتصاد الفلسطيني</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rPr>
        <w:footnoteReference w:id="12"/>
      </w:r>
      <w:r w:rsidRPr="00236FEE">
        <w:rPr>
          <w:rFonts w:ascii="Simplified Arabic" w:hAnsi="Simplified Arabic" w:cs="Simplified Arabic"/>
          <w:sz w:val="24"/>
          <w:szCs w:val="24"/>
          <w:vertAlign w:val="superscript"/>
          <w:rtl/>
        </w:rPr>
        <w:t>)</w:t>
      </w:r>
      <w:r w:rsidRPr="00236FEE">
        <w:rPr>
          <w:rFonts w:ascii="Simplified Arabic" w:hAnsi="Simplified Arabic" w:cs="Simplified Arabic"/>
          <w:sz w:val="24"/>
          <w:szCs w:val="24"/>
        </w:rPr>
        <w:t>.</w:t>
      </w:r>
    </w:p>
    <w:p w:rsidR="001B28C7" w:rsidRPr="00236FEE" w:rsidRDefault="001B28C7" w:rsidP="00F77884">
      <w:pPr>
        <w:pStyle w:val="a7"/>
        <w:numPr>
          <w:ilvl w:val="0"/>
          <w:numId w:val="13"/>
        </w:numPr>
        <w:spacing w:after="0" w:line="240" w:lineRule="auto"/>
        <w:ind w:left="0" w:firstLine="567"/>
        <w:jc w:val="lowKashida"/>
        <w:rPr>
          <w:rFonts w:ascii="Simplified Arabic" w:hAnsi="Simplified Arabic" w:cs="Simplified Arabic"/>
          <w:sz w:val="24"/>
          <w:szCs w:val="24"/>
        </w:rPr>
      </w:pPr>
      <w:r w:rsidRPr="00236FEE">
        <w:rPr>
          <w:rFonts w:ascii="Simplified Arabic" w:hAnsi="Simplified Arabic" w:cs="Simplified Arabic"/>
          <w:sz w:val="24"/>
          <w:szCs w:val="24"/>
          <w:rtl/>
        </w:rPr>
        <w:t xml:space="preserve">يشكّل غياب العملة الوطنية الفلسطينية أحد العوائق الرئيسية لعدم وجود سياسة نقدية بالمفهوم الكلي الشامل، فالسياسة النقدية ترتكز على نوعين من الأدوات للتأثير على حجم الائتمان المصرفي وعرض النقد، النوع الأول يتمثل في الأدوات الكميّة وهي: سياسة سعر إعادة الخصم، ونسبة الاحتياطي القانوني، وعمليات السوق المفتوحة، والنوع الثاني يتمثل في الأدوات النوعية مثل تطبيق معايير الرقابة الدولية، والإقناع الأدبي، ولذلك فإنّ السياسة النقدية المعمول بها في فلسطين وفي ظل غياب العملة الوطنية ترتكز على الأدوات النوعية للتأثير على حجم ونوعية الائتمان من خلال تطبيقها للمعايير الرقابية الدولية أو استخدامها لأداة الإقناع  الأدبي في توجيه الائتمان المصرفي لتحقيق أهداف اقتصادية معينة، أو لتعزيز كفاءة وملاءة البنوك العاملة في فلسطين </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rPr>
        <w:footnoteReference w:id="13"/>
      </w:r>
      <w:r w:rsidRPr="00236FEE">
        <w:rPr>
          <w:rFonts w:ascii="Simplified Arabic" w:hAnsi="Simplified Arabic" w:cs="Simplified Arabic"/>
          <w:sz w:val="24"/>
          <w:szCs w:val="24"/>
          <w:vertAlign w:val="superscript"/>
          <w:rtl/>
        </w:rPr>
        <w:t>)</w:t>
      </w:r>
      <w:r w:rsidRPr="00236FEE">
        <w:rPr>
          <w:rFonts w:ascii="Simplified Arabic" w:hAnsi="Simplified Arabic" w:cs="Simplified Arabic"/>
          <w:sz w:val="24"/>
          <w:szCs w:val="24"/>
          <w:rtl/>
        </w:rPr>
        <w:t>.</w:t>
      </w:r>
    </w:p>
    <w:p w:rsidR="001B28C7" w:rsidRPr="00236FEE" w:rsidRDefault="001B28C7" w:rsidP="00F77884">
      <w:pPr>
        <w:pStyle w:val="a7"/>
        <w:numPr>
          <w:ilvl w:val="0"/>
          <w:numId w:val="13"/>
        </w:numPr>
        <w:spacing w:after="0" w:line="240" w:lineRule="auto"/>
        <w:ind w:left="0" w:firstLine="567"/>
        <w:jc w:val="lowKashida"/>
        <w:rPr>
          <w:rFonts w:ascii="Simplified Arabic" w:hAnsi="Simplified Arabic" w:cs="Simplified Arabic"/>
          <w:sz w:val="24"/>
          <w:szCs w:val="24"/>
        </w:rPr>
      </w:pPr>
      <w:r w:rsidRPr="00236FEE">
        <w:rPr>
          <w:rFonts w:ascii="Simplified Arabic" w:hAnsi="Simplified Arabic" w:cs="Simplified Arabic"/>
          <w:sz w:val="24"/>
          <w:szCs w:val="24"/>
          <w:rtl/>
        </w:rPr>
        <w:t>غياب العملة الوطنية يجعل الاقتصاد الفلسطيني عرضةً بصورة كبيرة للصدمات والهزّات الخارجية، مثل إغلاق الحدود، والتقلّبات في الطلب على العمالة الفلسطينية في إسرائيل، وتغيّرات معدّلات صرف العملات المتداولة في فلسطين، والهزّات النقديّة التي تحدث في إسرائيل والأردن</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rPr>
        <w:footnoteReference w:id="14"/>
      </w:r>
      <w:r w:rsidRPr="00236FEE">
        <w:rPr>
          <w:rFonts w:ascii="Simplified Arabic" w:hAnsi="Simplified Arabic" w:cs="Simplified Arabic"/>
          <w:sz w:val="24"/>
          <w:szCs w:val="24"/>
          <w:vertAlign w:val="superscript"/>
          <w:rtl/>
        </w:rPr>
        <w:t>)</w:t>
      </w:r>
      <w:r w:rsidRPr="00236FEE">
        <w:rPr>
          <w:rFonts w:ascii="Simplified Arabic" w:hAnsi="Simplified Arabic" w:cs="Simplified Arabic"/>
          <w:sz w:val="24"/>
          <w:szCs w:val="24"/>
          <w:rtl/>
        </w:rPr>
        <w:t>.</w:t>
      </w:r>
    </w:p>
    <w:p w:rsidR="001B28C7" w:rsidRPr="00F467D9" w:rsidRDefault="001B28C7" w:rsidP="00F77884">
      <w:pPr>
        <w:pStyle w:val="a7"/>
        <w:numPr>
          <w:ilvl w:val="0"/>
          <w:numId w:val="6"/>
        </w:numPr>
        <w:spacing w:after="0" w:line="240" w:lineRule="auto"/>
        <w:ind w:left="0" w:firstLine="567"/>
        <w:jc w:val="lowKashida"/>
        <w:rPr>
          <w:rFonts w:ascii="Simplified Arabic" w:hAnsi="Simplified Arabic" w:cs="Simplified Arabic"/>
          <w:b/>
          <w:bCs/>
          <w:sz w:val="28"/>
          <w:szCs w:val="28"/>
        </w:rPr>
      </w:pPr>
      <w:r w:rsidRPr="00F467D9">
        <w:rPr>
          <w:rFonts w:ascii="Simplified Arabic" w:hAnsi="Simplified Arabic" w:cs="Simplified Arabic"/>
          <w:b/>
          <w:bCs/>
          <w:sz w:val="28"/>
          <w:szCs w:val="28"/>
          <w:rtl/>
        </w:rPr>
        <w:t>تبعية سوق العمل الفلسطيني لإسرائيل:</w:t>
      </w:r>
    </w:p>
    <w:p w:rsidR="001B28C7" w:rsidRPr="00236FEE" w:rsidRDefault="001B28C7" w:rsidP="00F77884">
      <w:pPr>
        <w:spacing w:after="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t xml:space="preserve">سعت إسرائيل منذ بداية احتلالها للأراضي الفلسطينية، إلى تنفيذ سياساتها الهادفة إلى تشويه الاقتصاد الفلسطيني، ودمجه بعلاقة تبعية مع الاقتصاد الإسرائيلي، فكانت العمالة الفلسطينية إحدى وسائل دمج الاقتصاد الفلسطيني بالاقتصاد الإسرائيلي، فسمحت للعمالة </w:t>
      </w:r>
      <w:r w:rsidRPr="00236FEE">
        <w:rPr>
          <w:rFonts w:ascii="Simplified Arabic" w:hAnsi="Simplified Arabic" w:cs="Simplified Arabic"/>
          <w:sz w:val="24"/>
          <w:szCs w:val="24"/>
          <w:rtl/>
        </w:rPr>
        <w:lastRenderedPageBreak/>
        <w:t>الفلسطينية بالانتقال إلى إسرائيل والعمل فيها، مستفيدة من مزايا العمالة الفلسطينية، والمتمثّلة بانخفاض أجرها، وانخفاض تكاليف الحصول عليها، وسهولة تحميلها نتائج وآثار الدورات الاقتصادية في إسرائيل.</w:t>
      </w:r>
    </w:p>
    <w:p w:rsidR="001B28C7" w:rsidRPr="00236FEE" w:rsidRDefault="001B28C7" w:rsidP="00F77884">
      <w:pPr>
        <w:spacing w:after="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t>إنّ خطورة العمالة المصدّرة إلى إسرائيل، والتي يسمّيها البعض "بطالة مؤجلة"، تكمن في كونها مفيدة وفاعلة على المدى القصير، ولكنّها خطيرة على المدى البعيد، لأنّ تصدير فائض العمالة ما هو إلّا هروب إلى الأمام، وبناءً عليه فقد تصرّفت السلطة الفلسطينية في البداية وكأنّ مشكلة البطالة تُعالج من خلال تصدير العمالة، وأعفت نفسها من مسؤولية معالجة هذه المشكلة المؤجلة، حتى انفجرت في وجه الحكومة، بعد سياسة الإغلاق والحصار الذي فرضته السلطات الإسرائيلية على الأراضي الفلسطينية، ومنع العمال الفلسطينيين من التوجه إلى أسواق العمل داخل إسرائيل، فانضمت أعداد كبيرة من هؤلاء العمال إلى صفوف العاطلين عن العمل، ممّا تسبب في تعزيز الاختلال في سوق العمل، وتعميق آثاره السلبية، الاقتصادية والاجتماعية، على المجتمع الفلسطيني</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rPr>
        <w:footnoteReference w:id="15"/>
      </w:r>
      <w:r w:rsidRPr="00236FEE">
        <w:rPr>
          <w:rFonts w:ascii="Simplified Arabic" w:hAnsi="Simplified Arabic" w:cs="Simplified Arabic"/>
          <w:sz w:val="24"/>
          <w:szCs w:val="24"/>
          <w:vertAlign w:val="superscript"/>
          <w:rtl/>
        </w:rPr>
        <w:t>)</w:t>
      </w:r>
      <w:r w:rsidRPr="00236FEE">
        <w:rPr>
          <w:rFonts w:ascii="Simplified Arabic" w:hAnsi="Simplified Arabic" w:cs="Simplified Arabic"/>
          <w:sz w:val="24"/>
          <w:szCs w:val="24"/>
          <w:rtl/>
        </w:rPr>
        <w:t>.</w:t>
      </w:r>
    </w:p>
    <w:p w:rsidR="001B28C7" w:rsidRPr="00236FEE" w:rsidRDefault="001B28C7" w:rsidP="00F77884">
      <w:pPr>
        <w:spacing w:after="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t xml:space="preserve">تفيد البيانات الإحصائية بأنّ غالبية العمالة الفلسطينية التي مُنعت من العمل في إسرائيل، لأسباب سياسية أو أمنية أو اقتصادية، لم يتم استيعابها في سوق العمل الفلسطيني بشكلٍ كامل، فانعكس هذا الأمر على نسبة البطالة في الأراضي الفلسطينية التي تذبذبت متأثرةً بالتذبذب الذي حصل لنسبة العمالة الفلسطينية في سوق العمل الإسرائيلي، والبيانات الواردة في الجدول رقم (2) توضّح مدى الارتباط بين نسبة البطالة في الأراضي الفلسطينية ونسبة العمالة الفلسطينية في إسرائيل، حيث شكّلت العمالة الفلسطينية في سوق العمل الإسرائيلي نسبة كبيرة من حجم العمالة الفلسطينية في الأراضي الفلسطينية، وصلت في العام 1999 إلى الربع تقريباً، ولكن سرعان ما تحولت هذه الأعداد إلى معدلات بطالة مرتفعة، بعد إغلاق سوق العمل الإسرائيلي في وجه العمالة الفلسطينية منذ اندلاع انتفاضة الأقصى في العام 2000، ورغم إغلاق سوق العمل الفلسطينية في وجه العمالة الفلسطينية من قطاع غزة منذ العام 2006، إلّا أنّ عدد العمالة الفلسطينية في إسرائيل من الضفة الغربية تضاعف </w:t>
      </w:r>
      <w:r w:rsidRPr="00236FEE">
        <w:rPr>
          <w:rFonts w:ascii="Simplified Arabic" w:hAnsi="Simplified Arabic" w:cs="Simplified Arabic"/>
          <w:sz w:val="24"/>
          <w:szCs w:val="24"/>
          <w:rtl/>
        </w:rPr>
        <w:lastRenderedPageBreak/>
        <w:t>خلال السنوات الأخيرة، ليتجاوز في العام 2014 (94000) عامل</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rPr>
        <w:footnoteReference w:id="16"/>
      </w:r>
      <w:r w:rsidRPr="00236FEE">
        <w:rPr>
          <w:rFonts w:ascii="Simplified Arabic" w:hAnsi="Simplified Arabic" w:cs="Simplified Arabic"/>
          <w:sz w:val="24"/>
          <w:szCs w:val="24"/>
          <w:vertAlign w:val="superscript"/>
          <w:rtl/>
        </w:rPr>
        <w:t>)</w:t>
      </w:r>
      <w:r w:rsidRPr="00236FEE">
        <w:rPr>
          <w:rFonts w:ascii="Simplified Arabic" w:hAnsi="Simplified Arabic" w:cs="Simplified Arabic"/>
          <w:sz w:val="24"/>
          <w:szCs w:val="24"/>
          <w:rtl/>
        </w:rPr>
        <w:t>، وحسب الإحصاءات الإسرائيلية فإنّ هناك عدد مماثل من العمالة الفلسطينية غير الرسمية(لا يحملون تصاريح عمل) عملوا في إسرائيل خلال العام 2014، وهذا مؤّشر واضح أنّ سوق العمل الفلسطيني ما زال مرتبطاً بسوق العمل الإسرائيلي ارتباطاً تفرضه حاجة الفلسطينيين للعمل، في ظل عجز الاقتصاد الفلسطيني عن توفير فرص عمل مستمرة لهم.</w:t>
      </w:r>
    </w:p>
    <w:p w:rsidR="001668ED" w:rsidRDefault="001B28C7" w:rsidP="00624491">
      <w:pPr>
        <w:spacing w:after="120" w:line="240" w:lineRule="auto"/>
        <w:jc w:val="lowKashida"/>
        <w:rPr>
          <w:rFonts w:ascii="Simplified Arabic" w:hAnsi="Simplified Arabic" w:cs="Simplified Arabic"/>
          <w:b/>
          <w:bCs/>
          <w:sz w:val="28"/>
          <w:szCs w:val="28"/>
          <w:rtl/>
          <w:lang w:eastAsia="ar-SA"/>
        </w:rPr>
      </w:pPr>
      <w:r w:rsidRPr="00236FEE">
        <w:rPr>
          <w:rFonts w:ascii="Simplified Arabic" w:hAnsi="Simplified Arabic" w:cs="Simplified Arabic"/>
          <w:sz w:val="24"/>
          <w:szCs w:val="24"/>
          <w:rtl/>
        </w:rPr>
        <w:t>كما أدّت السياسة الإسرائيلية التي اتبعت ضد سوق العمل الفلسطيني إلى تعاظم مستويات الأجور المدفوعة في سوق العمل الإسرائيلي بالمقارنة مع مستويات الأجور في سوق العمل الفلسطيني، ممّا أثّر تأثيراً سلبياً على الاقتصاد الفلسطيني عبر اتجاهين: الأول إضعاف القطاعات الإنتاجية من خلال رفع تكلفة الإنتاج, لأنّ ارتفاع أجور العمال الفلسطينيين في سوق العمل الإسرائيلي قلّص عدد العمال الراغبين في العمل في سوق العمل الفلسطيني, وبالتالي ارتفعت الأجور, وارتفعت تكلفة الإنتاج الزراعي والصناعي, وانخفضت نسبة الربح, الأمر الذي أدّى إلى تقليص حجم الاستثمار في قطاعي الزراعة والصناعة, والاتجاه الثاني إضعاف القطاعات الإنتاجية من خلال تغيير هيكل الأسعار النسبي, لأنّ زيادة الدخل المتأتي من العمالة الفلسطينية في إسرائيل, أدّى إلى زيادة أسعار الخدمات العامة, وبالتالي زيادة استيراد السلع الزراعية والصناعية, ممّا أحدث تغيّر نسبي في هيكل الأسعار لصالح قطاعات الخدمات على حساب قطاعي الزراعة والصناعة</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rPr>
        <w:footnoteReference w:id="17"/>
      </w:r>
      <w:r w:rsidRPr="00236FEE">
        <w:rPr>
          <w:rFonts w:ascii="Simplified Arabic" w:hAnsi="Simplified Arabic" w:cs="Simplified Arabic"/>
          <w:sz w:val="24"/>
          <w:szCs w:val="24"/>
          <w:vertAlign w:val="superscript"/>
          <w:rtl/>
        </w:rPr>
        <w:t>)</w:t>
      </w:r>
      <w:r w:rsidRPr="00236FEE">
        <w:rPr>
          <w:rFonts w:ascii="Simplified Arabic" w:hAnsi="Simplified Arabic" w:cs="Simplified Arabic"/>
          <w:sz w:val="24"/>
          <w:szCs w:val="24"/>
          <w:rtl/>
        </w:rPr>
        <w:t xml:space="preserve"> .</w:t>
      </w:r>
    </w:p>
    <w:p w:rsidR="00472111" w:rsidRPr="00236FEE" w:rsidRDefault="00472111" w:rsidP="00F77884">
      <w:pPr>
        <w:spacing w:after="0" w:line="240" w:lineRule="auto"/>
        <w:jc w:val="center"/>
        <w:rPr>
          <w:rFonts w:ascii="Simplified Arabic" w:hAnsi="Simplified Arabic" w:cs="Simplified Arabic"/>
          <w:b/>
          <w:bCs/>
          <w:sz w:val="24"/>
          <w:szCs w:val="24"/>
          <w:rtl/>
          <w:lang w:eastAsia="ar-SA"/>
        </w:rPr>
      </w:pPr>
      <w:r w:rsidRPr="006B04CC">
        <w:rPr>
          <w:rFonts w:ascii="Simplified Arabic" w:hAnsi="Simplified Arabic" w:cs="Simplified Arabic"/>
          <w:b/>
          <w:bCs/>
          <w:sz w:val="28"/>
          <w:szCs w:val="28"/>
          <w:rtl/>
          <w:lang w:eastAsia="ar-SA"/>
        </w:rPr>
        <w:t xml:space="preserve">جدول رقم(2): نسبة العمالة الفلسطينية في إسرائيل وتطوّر البطالة </w:t>
      </w:r>
      <w:r w:rsidRPr="00472111">
        <w:rPr>
          <w:rFonts w:ascii="Simplified Arabic" w:hAnsi="Simplified Arabic" w:cs="Simplified Arabic"/>
          <w:b/>
          <w:bCs/>
          <w:sz w:val="28"/>
          <w:szCs w:val="28"/>
          <w:rtl/>
          <w:lang w:eastAsia="ar-SA"/>
        </w:rPr>
        <w:t xml:space="preserve">الفلسطينية 1995- </w:t>
      </w:r>
      <w:r w:rsidRPr="00472111">
        <w:rPr>
          <w:rFonts w:ascii="Simplified Arabic" w:hAnsi="Simplified Arabic" w:cs="Simplified Arabic"/>
          <w:b/>
          <w:bCs/>
          <w:sz w:val="24"/>
          <w:szCs w:val="24"/>
          <w:rtl/>
          <w:lang w:eastAsia="ar-SA"/>
        </w:rPr>
        <w:t>2014</w:t>
      </w:r>
    </w:p>
    <w:tbl>
      <w:tblPr>
        <w:bidiVisual/>
        <w:tblW w:w="0" w:type="auto"/>
        <w:jc w:val="righ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1874"/>
        <w:gridCol w:w="711"/>
        <w:gridCol w:w="739"/>
        <w:gridCol w:w="711"/>
        <w:gridCol w:w="711"/>
        <w:gridCol w:w="711"/>
        <w:gridCol w:w="778"/>
        <w:gridCol w:w="711"/>
      </w:tblGrid>
      <w:tr w:rsidR="0081251D" w:rsidRPr="00F467D9" w:rsidTr="000F7479">
        <w:trPr>
          <w:jc w:val="right"/>
        </w:trPr>
        <w:tc>
          <w:tcPr>
            <w:tcW w:w="1874" w:type="dxa"/>
            <w:vAlign w:val="center"/>
          </w:tcPr>
          <w:p w:rsidR="0081251D" w:rsidRPr="00F467D9" w:rsidRDefault="001B28C7" w:rsidP="00F77884">
            <w:pPr>
              <w:spacing w:after="0" w:line="240" w:lineRule="auto"/>
              <w:jc w:val="lowKashida"/>
              <w:rPr>
                <w:rFonts w:ascii="Simplified Arabic" w:hAnsi="Simplified Arabic" w:cs="Simplified Arabic"/>
                <w:b/>
                <w:bCs/>
                <w:snapToGrid w:val="0"/>
                <w:color w:val="000000"/>
              </w:rPr>
            </w:pPr>
            <w:r w:rsidRPr="00236FEE">
              <w:rPr>
                <w:rFonts w:ascii="Simplified Arabic" w:hAnsi="Simplified Arabic" w:cs="Simplified Arabic"/>
                <w:b/>
                <w:bCs/>
                <w:sz w:val="24"/>
                <w:szCs w:val="24"/>
                <w:rtl/>
                <w:lang w:eastAsia="ar-SA"/>
              </w:rPr>
              <w:br w:type="page"/>
            </w:r>
            <w:r w:rsidR="0081251D" w:rsidRPr="00F467D9">
              <w:rPr>
                <w:rFonts w:ascii="Simplified Arabic" w:hAnsi="Simplified Arabic" w:cs="Simplified Arabic"/>
                <w:b/>
                <w:bCs/>
                <w:snapToGrid w:val="0"/>
                <w:color w:val="000000"/>
                <w:rtl/>
              </w:rPr>
              <w:t>البيان</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b/>
                <w:bCs/>
                <w:snapToGrid w:val="0"/>
                <w:color w:val="000000"/>
                <w:rtl/>
              </w:rPr>
            </w:pPr>
            <w:r w:rsidRPr="00F467D9">
              <w:rPr>
                <w:rFonts w:ascii="Simplified Arabic" w:hAnsi="Simplified Arabic" w:cs="Simplified Arabic"/>
                <w:b/>
                <w:bCs/>
                <w:snapToGrid w:val="0"/>
                <w:color w:val="000000"/>
                <w:rtl/>
              </w:rPr>
              <w:t>1995</w:t>
            </w:r>
          </w:p>
        </w:tc>
        <w:tc>
          <w:tcPr>
            <w:tcW w:w="739" w:type="dxa"/>
            <w:vAlign w:val="center"/>
          </w:tcPr>
          <w:p w:rsidR="0081251D" w:rsidRPr="00F467D9" w:rsidRDefault="0081251D" w:rsidP="00F77884">
            <w:pPr>
              <w:spacing w:after="0" w:line="240" w:lineRule="auto"/>
              <w:jc w:val="lowKashida"/>
              <w:rPr>
                <w:rFonts w:ascii="Simplified Arabic" w:hAnsi="Simplified Arabic" w:cs="Simplified Arabic"/>
                <w:b/>
                <w:bCs/>
                <w:snapToGrid w:val="0"/>
                <w:color w:val="000000"/>
                <w:rtl/>
              </w:rPr>
            </w:pPr>
            <w:r w:rsidRPr="00F467D9">
              <w:rPr>
                <w:rFonts w:ascii="Simplified Arabic" w:hAnsi="Simplified Arabic" w:cs="Simplified Arabic"/>
                <w:b/>
                <w:bCs/>
                <w:snapToGrid w:val="0"/>
                <w:color w:val="000000"/>
                <w:rtl/>
              </w:rPr>
              <w:t>1996</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b/>
                <w:bCs/>
                <w:snapToGrid w:val="0"/>
                <w:color w:val="000000"/>
                <w:rtl/>
              </w:rPr>
            </w:pPr>
            <w:r w:rsidRPr="00F467D9">
              <w:rPr>
                <w:rFonts w:ascii="Simplified Arabic" w:hAnsi="Simplified Arabic" w:cs="Simplified Arabic"/>
                <w:b/>
                <w:bCs/>
                <w:snapToGrid w:val="0"/>
                <w:color w:val="000000"/>
                <w:rtl/>
              </w:rPr>
              <w:t>1997</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b/>
                <w:bCs/>
                <w:snapToGrid w:val="0"/>
                <w:color w:val="000000"/>
                <w:rtl/>
              </w:rPr>
            </w:pPr>
            <w:r w:rsidRPr="00F467D9">
              <w:rPr>
                <w:rFonts w:ascii="Simplified Arabic" w:hAnsi="Simplified Arabic" w:cs="Simplified Arabic"/>
                <w:b/>
                <w:bCs/>
                <w:snapToGrid w:val="0"/>
                <w:color w:val="000000"/>
                <w:rtl/>
              </w:rPr>
              <w:t>1998</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b/>
                <w:bCs/>
                <w:snapToGrid w:val="0"/>
                <w:color w:val="000000"/>
                <w:rtl/>
              </w:rPr>
            </w:pPr>
            <w:r w:rsidRPr="00F467D9">
              <w:rPr>
                <w:rFonts w:ascii="Simplified Arabic" w:hAnsi="Simplified Arabic" w:cs="Simplified Arabic"/>
                <w:b/>
                <w:bCs/>
                <w:snapToGrid w:val="0"/>
                <w:color w:val="000000"/>
                <w:rtl/>
              </w:rPr>
              <w:t>1999</w:t>
            </w:r>
          </w:p>
        </w:tc>
        <w:tc>
          <w:tcPr>
            <w:tcW w:w="778" w:type="dxa"/>
            <w:vAlign w:val="center"/>
          </w:tcPr>
          <w:p w:rsidR="0081251D" w:rsidRPr="00F467D9" w:rsidRDefault="0081251D" w:rsidP="00F77884">
            <w:pPr>
              <w:spacing w:after="0" w:line="240" w:lineRule="auto"/>
              <w:jc w:val="lowKashida"/>
              <w:rPr>
                <w:rFonts w:ascii="Simplified Arabic" w:hAnsi="Simplified Arabic" w:cs="Simplified Arabic"/>
                <w:b/>
                <w:bCs/>
                <w:snapToGrid w:val="0"/>
                <w:color w:val="000000"/>
                <w:rtl/>
              </w:rPr>
            </w:pPr>
            <w:r w:rsidRPr="00F467D9">
              <w:rPr>
                <w:rFonts w:ascii="Simplified Arabic" w:hAnsi="Simplified Arabic" w:cs="Simplified Arabic"/>
                <w:b/>
                <w:bCs/>
                <w:snapToGrid w:val="0"/>
                <w:color w:val="000000"/>
                <w:rtl/>
              </w:rPr>
              <w:t>2000</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b/>
                <w:bCs/>
                <w:snapToGrid w:val="0"/>
                <w:color w:val="000000"/>
                <w:rtl/>
              </w:rPr>
            </w:pPr>
            <w:r w:rsidRPr="00F467D9">
              <w:rPr>
                <w:rFonts w:ascii="Simplified Arabic" w:hAnsi="Simplified Arabic" w:cs="Simplified Arabic"/>
                <w:b/>
                <w:bCs/>
                <w:snapToGrid w:val="0"/>
                <w:color w:val="000000"/>
                <w:rtl/>
              </w:rPr>
              <w:t>2001</w:t>
            </w:r>
          </w:p>
        </w:tc>
      </w:tr>
      <w:tr w:rsidR="0081251D" w:rsidRPr="00F467D9" w:rsidTr="000F7479">
        <w:trPr>
          <w:jc w:val="right"/>
        </w:trPr>
        <w:tc>
          <w:tcPr>
            <w:tcW w:w="1874" w:type="dxa"/>
            <w:vAlign w:val="center"/>
          </w:tcPr>
          <w:p w:rsidR="0081251D" w:rsidRPr="00F467D9" w:rsidRDefault="0081251D" w:rsidP="00F77884">
            <w:pPr>
              <w:spacing w:after="0" w:line="240" w:lineRule="auto"/>
              <w:jc w:val="lowKashida"/>
              <w:rPr>
                <w:rFonts w:ascii="Simplified Arabic" w:hAnsi="Simplified Arabic" w:cs="Simplified Arabic"/>
              </w:rPr>
            </w:pPr>
            <w:r w:rsidRPr="00F467D9">
              <w:rPr>
                <w:rFonts w:ascii="Simplified Arabic" w:hAnsi="Simplified Arabic" w:cs="Simplified Arabic"/>
                <w:rtl/>
              </w:rPr>
              <w:t>نسبة البطالة</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Pr>
            </w:pPr>
            <w:r w:rsidRPr="00F467D9">
              <w:rPr>
                <w:rFonts w:ascii="Simplified Arabic" w:hAnsi="Simplified Arabic" w:cs="Simplified Arabic"/>
                <w:snapToGrid w:val="0"/>
                <w:color w:val="000000"/>
                <w:rtl/>
              </w:rPr>
              <w:t>18.7</w:t>
            </w:r>
          </w:p>
        </w:tc>
        <w:tc>
          <w:tcPr>
            <w:tcW w:w="739"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Pr>
            </w:pPr>
            <w:r w:rsidRPr="00F467D9">
              <w:rPr>
                <w:rFonts w:ascii="Simplified Arabic" w:hAnsi="Simplified Arabic" w:cs="Simplified Arabic"/>
                <w:snapToGrid w:val="0"/>
                <w:color w:val="000000"/>
                <w:rtl/>
              </w:rPr>
              <w:t>23.6</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Pr>
            </w:pPr>
            <w:r w:rsidRPr="00F467D9">
              <w:rPr>
                <w:rFonts w:ascii="Simplified Arabic" w:hAnsi="Simplified Arabic" w:cs="Simplified Arabic"/>
                <w:snapToGrid w:val="0"/>
                <w:color w:val="000000"/>
                <w:rtl/>
              </w:rPr>
              <w:t>20.1</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Pr>
            </w:pPr>
            <w:r w:rsidRPr="00F467D9">
              <w:rPr>
                <w:rFonts w:ascii="Simplified Arabic" w:hAnsi="Simplified Arabic" w:cs="Simplified Arabic"/>
                <w:snapToGrid w:val="0"/>
                <w:color w:val="000000"/>
                <w:rtl/>
              </w:rPr>
              <w:t>14.2</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Pr>
            </w:pPr>
            <w:r w:rsidRPr="00F467D9">
              <w:rPr>
                <w:rFonts w:ascii="Simplified Arabic" w:hAnsi="Simplified Arabic" w:cs="Simplified Arabic"/>
                <w:snapToGrid w:val="0"/>
                <w:color w:val="000000"/>
                <w:rtl/>
              </w:rPr>
              <w:t>11.8</w:t>
            </w:r>
          </w:p>
        </w:tc>
        <w:tc>
          <w:tcPr>
            <w:tcW w:w="778"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Pr>
            </w:pPr>
            <w:r w:rsidRPr="00F467D9">
              <w:rPr>
                <w:rFonts w:ascii="Simplified Arabic" w:hAnsi="Simplified Arabic" w:cs="Simplified Arabic"/>
                <w:snapToGrid w:val="0"/>
                <w:color w:val="000000"/>
                <w:rtl/>
              </w:rPr>
              <w:t>14.2</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Pr>
            </w:pPr>
            <w:r w:rsidRPr="00F467D9">
              <w:rPr>
                <w:rFonts w:ascii="Simplified Arabic" w:hAnsi="Simplified Arabic" w:cs="Simplified Arabic"/>
                <w:snapToGrid w:val="0"/>
                <w:color w:val="000000"/>
                <w:rtl/>
              </w:rPr>
              <w:t>25.2</w:t>
            </w:r>
          </w:p>
        </w:tc>
      </w:tr>
      <w:tr w:rsidR="0081251D" w:rsidRPr="00F467D9" w:rsidTr="000F7479">
        <w:trPr>
          <w:jc w:val="right"/>
        </w:trPr>
        <w:tc>
          <w:tcPr>
            <w:tcW w:w="1874" w:type="dxa"/>
            <w:vAlign w:val="center"/>
          </w:tcPr>
          <w:p w:rsidR="0081251D" w:rsidRPr="00F467D9" w:rsidRDefault="0081251D" w:rsidP="00F77884">
            <w:pPr>
              <w:spacing w:after="0" w:line="240" w:lineRule="auto"/>
              <w:jc w:val="lowKashida"/>
              <w:rPr>
                <w:rFonts w:ascii="Simplified Arabic" w:hAnsi="Simplified Arabic" w:cs="Simplified Arabic"/>
              </w:rPr>
            </w:pPr>
            <w:r w:rsidRPr="00F467D9">
              <w:rPr>
                <w:rFonts w:ascii="Simplified Arabic" w:hAnsi="Simplified Arabic" w:cs="Simplified Arabic"/>
                <w:rtl/>
              </w:rPr>
              <w:t>نسبة العمالة في إسرائيل</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Pr>
            </w:pPr>
            <w:r w:rsidRPr="00F467D9">
              <w:rPr>
                <w:rFonts w:ascii="Simplified Arabic" w:hAnsi="Simplified Arabic" w:cs="Simplified Arabic"/>
                <w:snapToGrid w:val="0"/>
                <w:color w:val="000000"/>
              </w:rPr>
              <w:t>16.2</w:t>
            </w:r>
          </w:p>
        </w:tc>
        <w:tc>
          <w:tcPr>
            <w:tcW w:w="739"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Pr>
            </w:pPr>
            <w:r w:rsidRPr="00F467D9">
              <w:rPr>
                <w:rFonts w:ascii="Simplified Arabic" w:hAnsi="Simplified Arabic" w:cs="Simplified Arabic"/>
                <w:snapToGrid w:val="0"/>
                <w:color w:val="000000"/>
              </w:rPr>
              <w:t>14.1</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Pr>
            </w:pPr>
            <w:r w:rsidRPr="00F467D9">
              <w:rPr>
                <w:rFonts w:ascii="Simplified Arabic" w:hAnsi="Simplified Arabic" w:cs="Simplified Arabic"/>
                <w:snapToGrid w:val="0"/>
                <w:color w:val="000000"/>
              </w:rPr>
              <w:t>17.1</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Pr>
            </w:pPr>
            <w:r w:rsidRPr="00F467D9">
              <w:rPr>
                <w:rFonts w:ascii="Simplified Arabic" w:hAnsi="Simplified Arabic" w:cs="Simplified Arabic"/>
                <w:snapToGrid w:val="0"/>
                <w:color w:val="000000"/>
              </w:rPr>
              <w:t>21.7</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Pr>
            </w:pPr>
            <w:r w:rsidRPr="00F467D9">
              <w:rPr>
                <w:rFonts w:ascii="Simplified Arabic" w:hAnsi="Simplified Arabic" w:cs="Simplified Arabic"/>
                <w:snapToGrid w:val="0"/>
                <w:color w:val="000000"/>
              </w:rPr>
              <w:t>22.9</w:t>
            </w:r>
          </w:p>
        </w:tc>
        <w:tc>
          <w:tcPr>
            <w:tcW w:w="778"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Pr>
            </w:pPr>
            <w:r w:rsidRPr="00F467D9">
              <w:rPr>
                <w:rFonts w:ascii="Simplified Arabic" w:hAnsi="Simplified Arabic" w:cs="Simplified Arabic"/>
                <w:snapToGrid w:val="0"/>
                <w:color w:val="000000"/>
              </w:rPr>
              <w:t>19.6</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Pr>
            </w:pPr>
            <w:r w:rsidRPr="00F467D9">
              <w:rPr>
                <w:rFonts w:ascii="Simplified Arabic" w:hAnsi="Simplified Arabic" w:cs="Simplified Arabic"/>
                <w:snapToGrid w:val="0"/>
                <w:color w:val="000000"/>
              </w:rPr>
              <w:t>13.8</w:t>
            </w:r>
          </w:p>
        </w:tc>
      </w:tr>
      <w:tr w:rsidR="0081251D" w:rsidRPr="00F467D9" w:rsidTr="000F7479">
        <w:trPr>
          <w:jc w:val="right"/>
        </w:trPr>
        <w:tc>
          <w:tcPr>
            <w:tcW w:w="1874" w:type="dxa"/>
            <w:vAlign w:val="center"/>
          </w:tcPr>
          <w:p w:rsidR="0081251D" w:rsidRPr="00F467D9" w:rsidRDefault="0081251D" w:rsidP="00F77884">
            <w:pPr>
              <w:spacing w:after="0" w:line="240" w:lineRule="auto"/>
              <w:jc w:val="lowKashida"/>
              <w:rPr>
                <w:rFonts w:ascii="Simplified Arabic" w:hAnsi="Simplified Arabic" w:cs="Simplified Arabic"/>
                <w:b/>
                <w:bCs/>
                <w:rtl/>
              </w:rPr>
            </w:pPr>
            <w:r w:rsidRPr="00F467D9">
              <w:rPr>
                <w:rFonts w:ascii="Simplified Arabic" w:hAnsi="Simplified Arabic" w:cs="Simplified Arabic"/>
                <w:b/>
                <w:bCs/>
                <w:rtl/>
              </w:rPr>
              <w:lastRenderedPageBreak/>
              <w:t>المنطقة</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b/>
                <w:bCs/>
                <w:snapToGrid w:val="0"/>
                <w:color w:val="000000"/>
                <w:rtl/>
              </w:rPr>
            </w:pPr>
            <w:r w:rsidRPr="00F467D9">
              <w:rPr>
                <w:rFonts w:ascii="Simplified Arabic" w:hAnsi="Simplified Arabic" w:cs="Simplified Arabic"/>
                <w:b/>
                <w:bCs/>
                <w:snapToGrid w:val="0"/>
                <w:color w:val="000000"/>
                <w:rtl/>
              </w:rPr>
              <w:t>2002</w:t>
            </w:r>
          </w:p>
        </w:tc>
        <w:tc>
          <w:tcPr>
            <w:tcW w:w="739" w:type="dxa"/>
            <w:vAlign w:val="center"/>
          </w:tcPr>
          <w:p w:rsidR="0081251D" w:rsidRPr="00F467D9" w:rsidRDefault="0081251D" w:rsidP="00F77884">
            <w:pPr>
              <w:spacing w:after="0" w:line="240" w:lineRule="auto"/>
              <w:jc w:val="lowKashida"/>
              <w:rPr>
                <w:rFonts w:ascii="Simplified Arabic" w:hAnsi="Simplified Arabic" w:cs="Simplified Arabic"/>
                <w:b/>
                <w:bCs/>
                <w:snapToGrid w:val="0"/>
                <w:color w:val="000000"/>
                <w:rtl/>
              </w:rPr>
            </w:pPr>
            <w:r w:rsidRPr="00F467D9">
              <w:rPr>
                <w:rFonts w:ascii="Simplified Arabic" w:hAnsi="Simplified Arabic" w:cs="Simplified Arabic"/>
                <w:b/>
                <w:bCs/>
                <w:snapToGrid w:val="0"/>
                <w:color w:val="000000"/>
                <w:rtl/>
              </w:rPr>
              <w:t>2003</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b/>
                <w:bCs/>
                <w:snapToGrid w:val="0"/>
                <w:color w:val="000000"/>
                <w:rtl/>
              </w:rPr>
            </w:pPr>
            <w:r w:rsidRPr="00F467D9">
              <w:rPr>
                <w:rFonts w:ascii="Simplified Arabic" w:hAnsi="Simplified Arabic" w:cs="Simplified Arabic"/>
                <w:b/>
                <w:bCs/>
                <w:snapToGrid w:val="0"/>
                <w:color w:val="000000"/>
                <w:rtl/>
              </w:rPr>
              <w:t>2004</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b/>
                <w:bCs/>
                <w:snapToGrid w:val="0"/>
                <w:color w:val="000000"/>
                <w:rtl/>
              </w:rPr>
            </w:pPr>
            <w:r w:rsidRPr="00F467D9">
              <w:rPr>
                <w:rFonts w:ascii="Simplified Arabic" w:hAnsi="Simplified Arabic" w:cs="Simplified Arabic"/>
                <w:b/>
                <w:bCs/>
                <w:snapToGrid w:val="0"/>
                <w:color w:val="000000"/>
                <w:rtl/>
              </w:rPr>
              <w:t>2005</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b/>
                <w:bCs/>
                <w:snapToGrid w:val="0"/>
                <w:color w:val="000000"/>
                <w:rtl/>
              </w:rPr>
            </w:pPr>
            <w:r w:rsidRPr="00F467D9">
              <w:rPr>
                <w:rFonts w:ascii="Simplified Arabic" w:hAnsi="Simplified Arabic" w:cs="Simplified Arabic"/>
                <w:b/>
                <w:bCs/>
                <w:snapToGrid w:val="0"/>
                <w:color w:val="000000"/>
                <w:rtl/>
              </w:rPr>
              <w:t>2006</w:t>
            </w:r>
          </w:p>
        </w:tc>
        <w:tc>
          <w:tcPr>
            <w:tcW w:w="778" w:type="dxa"/>
            <w:vAlign w:val="center"/>
          </w:tcPr>
          <w:p w:rsidR="0081251D" w:rsidRPr="00F467D9" w:rsidRDefault="0081251D" w:rsidP="00F77884">
            <w:pPr>
              <w:spacing w:after="0" w:line="240" w:lineRule="auto"/>
              <w:jc w:val="lowKashida"/>
              <w:rPr>
                <w:rFonts w:ascii="Simplified Arabic" w:hAnsi="Simplified Arabic" w:cs="Simplified Arabic"/>
                <w:b/>
                <w:bCs/>
                <w:snapToGrid w:val="0"/>
                <w:color w:val="000000"/>
                <w:rtl/>
              </w:rPr>
            </w:pPr>
            <w:r w:rsidRPr="00F467D9">
              <w:rPr>
                <w:rFonts w:ascii="Simplified Arabic" w:hAnsi="Simplified Arabic" w:cs="Simplified Arabic"/>
                <w:b/>
                <w:bCs/>
                <w:snapToGrid w:val="0"/>
                <w:color w:val="000000"/>
                <w:rtl/>
              </w:rPr>
              <w:t>2007</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b/>
                <w:bCs/>
                <w:snapToGrid w:val="0"/>
                <w:color w:val="000000"/>
                <w:rtl/>
              </w:rPr>
            </w:pPr>
            <w:r w:rsidRPr="00F467D9">
              <w:rPr>
                <w:rFonts w:ascii="Simplified Arabic" w:hAnsi="Simplified Arabic" w:cs="Simplified Arabic"/>
                <w:b/>
                <w:bCs/>
                <w:snapToGrid w:val="0"/>
                <w:color w:val="000000"/>
                <w:rtl/>
              </w:rPr>
              <w:t>2008</w:t>
            </w:r>
          </w:p>
        </w:tc>
      </w:tr>
      <w:tr w:rsidR="0081251D" w:rsidRPr="00F467D9" w:rsidTr="000F7479">
        <w:trPr>
          <w:jc w:val="right"/>
        </w:trPr>
        <w:tc>
          <w:tcPr>
            <w:tcW w:w="1874" w:type="dxa"/>
            <w:vAlign w:val="center"/>
          </w:tcPr>
          <w:p w:rsidR="0081251D" w:rsidRPr="00F467D9" w:rsidRDefault="0081251D" w:rsidP="00F77884">
            <w:pPr>
              <w:spacing w:after="0" w:line="240" w:lineRule="auto"/>
              <w:jc w:val="lowKashida"/>
              <w:rPr>
                <w:rFonts w:ascii="Simplified Arabic" w:hAnsi="Simplified Arabic" w:cs="Simplified Arabic"/>
              </w:rPr>
            </w:pPr>
            <w:r w:rsidRPr="00F467D9">
              <w:rPr>
                <w:rFonts w:ascii="Simplified Arabic" w:hAnsi="Simplified Arabic" w:cs="Simplified Arabic"/>
                <w:rtl/>
              </w:rPr>
              <w:t>نسبة البطالة</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Pr>
            </w:pPr>
            <w:r w:rsidRPr="00F467D9">
              <w:rPr>
                <w:rFonts w:ascii="Simplified Arabic" w:hAnsi="Simplified Arabic" w:cs="Simplified Arabic"/>
                <w:snapToGrid w:val="0"/>
                <w:color w:val="000000"/>
                <w:rtl/>
              </w:rPr>
              <w:t>31.2</w:t>
            </w:r>
          </w:p>
        </w:tc>
        <w:tc>
          <w:tcPr>
            <w:tcW w:w="739"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Pr>
            </w:pPr>
            <w:r w:rsidRPr="00F467D9">
              <w:rPr>
                <w:rFonts w:ascii="Simplified Arabic" w:hAnsi="Simplified Arabic" w:cs="Simplified Arabic"/>
                <w:snapToGrid w:val="0"/>
                <w:color w:val="000000"/>
                <w:rtl/>
              </w:rPr>
              <w:t>25.6</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tl/>
              </w:rPr>
            </w:pPr>
            <w:r w:rsidRPr="00F467D9">
              <w:rPr>
                <w:rFonts w:ascii="Simplified Arabic" w:hAnsi="Simplified Arabic" w:cs="Simplified Arabic"/>
                <w:snapToGrid w:val="0"/>
                <w:color w:val="000000"/>
                <w:rtl/>
              </w:rPr>
              <w:t>26.7</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tl/>
              </w:rPr>
            </w:pPr>
            <w:r w:rsidRPr="00F467D9">
              <w:rPr>
                <w:rFonts w:ascii="Simplified Arabic" w:hAnsi="Simplified Arabic" w:cs="Simplified Arabic"/>
                <w:snapToGrid w:val="0"/>
                <w:color w:val="000000"/>
                <w:rtl/>
              </w:rPr>
              <w:t>23.6</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rPr>
            </w:pPr>
            <w:r w:rsidRPr="00F467D9">
              <w:rPr>
                <w:rFonts w:ascii="Simplified Arabic" w:hAnsi="Simplified Arabic" w:cs="Simplified Arabic"/>
                <w:rtl/>
              </w:rPr>
              <w:t>23.7</w:t>
            </w:r>
          </w:p>
        </w:tc>
        <w:tc>
          <w:tcPr>
            <w:tcW w:w="778" w:type="dxa"/>
            <w:vAlign w:val="center"/>
          </w:tcPr>
          <w:p w:rsidR="0081251D" w:rsidRPr="00F467D9" w:rsidRDefault="0081251D" w:rsidP="00F77884">
            <w:pPr>
              <w:spacing w:after="0" w:line="240" w:lineRule="auto"/>
              <w:jc w:val="lowKashida"/>
              <w:rPr>
                <w:rFonts w:ascii="Simplified Arabic" w:eastAsia="Arial Unicode MS" w:hAnsi="Simplified Arabic" w:cs="Simplified Arabic"/>
              </w:rPr>
            </w:pPr>
            <w:r w:rsidRPr="00F467D9">
              <w:rPr>
                <w:rFonts w:ascii="Simplified Arabic" w:hAnsi="Simplified Arabic" w:cs="Simplified Arabic"/>
                <w:rtl/>
              </w:rPr>
              <w:t>21.7</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rPr>
            </w:pPr>
            <w:r w:rsidRPr="00F467D9">
              <w:rPr>
                <w:rFonts w:ascii="Simplified Arabic" w:hAnsi="Simplified Arabic" w:cs="Simplified Arabic"/>
                <w:rtl/>
              </w:rPr>
              <w:t>26.6</w:t>
            </w:r>
          </w:p>
        </w:tc>
      </w:tr>
      <w:tr w:rsidR="0081251D" w:rsidRPr="00F467D9" w:rsidTr="000F7479">
        <w:trPr>
          <w:jc w:val="right"/>
        </w:trPr>
        <w:tc>
          <w:tcPr>
            <w:tcW w:w="1874" w:type="dxa"/>
            <w:vAlign w:val="center"/>
          </w:tcPr>
          <w:p w:rsidR="0081251D" w:rsidRPr="00F467D9" w:rsidRDefault="0081251D" w:rsidP="00F77884">
            <w:pPr>
              <w:spacing w:after="0" w:line="240" w:lineRule="auto"/>
              <w:jc w:val="lowKashida"/>
              <w:rPr>
                <w:rFonts w:ascii="Simplified Arabic" w:hAnsi="Simplified Arabic" w:cs="Simplified Arabic"/>
              </w:rPr>
            </w:pPr>
            <w:r w:rsidRPr="00F467D9">
              <w:rPr>
                <w:rFonts w:ascii="Simplified Arabic" w:hAnsi="Simplified Arabic" w:cs="Simplified Arabic"/>
                <w:rtl/>
              </w:rPr>
              <w:t>نسبة العمالة في إسرائيل</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Pr>
            </w:pPr>
            <w:r w:rsidRPr="00F467D9">
              <w:rPr>
                <w:rFonts w:ascii="Simplified Arabic" w:hAnsi="Simplified Arabic" w:cs="Simplified Arabic"/>
                <w:snapToGrid w:val="0"/>
                <w:color w:val="000000"/>
              </w:rPr>
              <w:t>10.3</w:t>
            </w:r>
          </w:p>
        </w:tc>
        <w:tc>
          <w:tcPr>
            <w:tcW w:w="739"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Pr>
            </w:pPr>
            <w:r w:rsidRPr="00F467D9">
              <w:rPr>
                <w:rFonts w:ascii="Simplified Arabic" w:hAnsi="Simplified Arabic" w:cs="Simplified Arabic"/>
                <w:snapToGrid w:val="0"/>
                <w:color w:val="000000"/>
              </w:rPr>
              <w:t>9.7</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Pr>
            </w:pPr>
            <w:r w:rsidRPr="00F467D9">
              <w:rPr>
                <w:rFonts w:ascii="Simplified Arabic" w:hAnsi="Simplified Arabic" w:cs="Simplified Arabic"/>
                <w:snapToGrid w:val="0"/>
                <w:color w:val="000000"/>
                <w:rtl/>
              </w:rPr>
              <w:t>8.7</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tl/>
              </w:rPr>
            </w:pPr>
            <w:r w:rsidRPr="00F467D9">
              <w:rPr>
                <w:rFonts w:ascii="Simplified Arabic" w:hAnsi="Simplified Arabic" w:cs="Simplified Arabic"/>
                <w:snapToGrid w:val="0"/>
                <w:color w:val="000000"/>
                <w:rtl/>
              </w:rPr>
              <w:t>9.9</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rPr>
            </w:pPr>
            <w:r w:rsidRPr="00F467D9">
              <w:rPr>
                <w:rFonts w:ascii="Simplified Arabic" w:hAnsi="Simplified Arabic" w:cs="Simplified Arabic"/>
              </w:rPr>
              <w:t>9.6</w:t>
            </w:r>
          </w:p>
        </w:tc>
        <w:tc>
          <w:tcPr>
            <w:tcW w:w="778" w:type="dxa"/>
            <w:vAlign w:val="center"/>
          </w:tcPr>
          <w:p w:rsidR="0081251D" w:rsidRPr="00F467D9" w:rsidRDefault="0081251D" w:rsidP="00F77884">
            <w:pPr>
              <w:spacing w:after="0" w:line="240" w:lineRule="auto"/>
              <w:jc w:val="lowKashida"/>
              <w:rPr>
                <w:rFonts w:ascii="Simplified Arabic" w:eastAsia="Arial Unicode MS" w:hAnsi="Simplified Arabic" w:cs="Simplified Arabic"/>
              </w:rPr>
            </w:pPr>
            <w:r w:rsidRPr="00F467D9">
              <w:rPr>
                <w:rFonts w:ascii="Simplified Arabic" w:hAnsi="Simplified Arabic" w:cs="Simplified Arabic"/>
              </w:rPr>
              <w:t>9.4</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rPr>
            </w:pPr>
            <w:r w:rsidRPr="00F467D9">
              <w:rPr>
                <w:rFonts w:ascii="Simplified Arabic" w:hAnsi="Simplified Arabic" w:cs="Simplified Arabic"/>
              </w:rPr>
              <w:t>11.6</w:t>
            </w:r>
          </w:p>
        </w:tc>
      </w:tr>
      <w:tr w:rsidR="0081251D" w:rsidRPr="00F467D9" w:rsidTr="000F7479">
        <w:trPr>
          <w:jc w:val="right"/>
        </w:trPr>
        <w:tc>
          <w:tcPr>
            <w:tcW w:w="1874" w:type="dxa"/>
            <w:vAlign w:val="center"/>
          </w:tcPr>
          <w:p w:rsidR="0081251D" w:rsidRPr="00F467D9" w:rsidRDefault="0081251D" w:rsidP="00F77884">
            <w:pPr>
              <w:spacing w:after="0" w:line="240" w:lineRule="auto"/>
              <w:jc w:val="lowKashida"/>
              <w:rPr>
                <w:rFonts w:ascii="Simplified Arabic" w:hAnsi="Simplified Arabic" w:cs="Simplified Arabic"/>
                <w:b/>
                <w:bCs/>
                <w:rtl/>
              </w:rPr>
            </w:pPr>
            <w:r w:rsidRPr="00F467D9">
              <w:rPr>
                <w:rFonts w:ascii="Simplified Arabic" w:hAnsi="Simplified Arabic" w:cs="Simplified Arabic"/>
                <w:b/>
                <w:bCs/>
                <w:rtl/>
              </w:rPr>
              <w:t>المنطقة</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b/>
                <w:bCs/>
                <w:snapToGrid w:val="0"/>
                <w:color w:val="000000"/>
                <w:rtl/>
              </w:rPr>
            </w:pPr>
            <w:r w:rsidRPr="00F467D9">
              <w:rPr>
                <w:rFonts w:ascii="Simplified Arabic" w:hAnsi="Simplified Arabic" w:cs="Simplified Arabic"/>
                <w:b/>
                <w:bCs/>
                <w:snapToGrid w:val="0"/>
                <w:color w:val="000000"/>
                <w:rtl/>
              </w:rPr>
              <w:t>2009</w:t>
            </w:r>
          </w:p>
        </w:tc>
        <w:tc>
          <w:tcPr>
            <w:tcW w:w="739" w:type="dxa"/>
            <w:vAlign w:val="center"/>
          </w:tcPr>
          <w:p w:rsidR="0081251D" w:rsidRPr="00F467D9" w:rsidRDefault="0081251D" w:rsidP="00F77884">
            <w:pPr>
              <w:spacing w:after="0" w:line="240" w:lineRule="auto"/>
              <w:jc w:val="lowKashida"/>
              <w:rPr>
                <w:rFonts w:ascii="Simplified Arabic" w:hAnsi="Simplified Arabic" w:cs="Simplified Arabic"/>
                <w:b/>
                <w:bCs/>
                <w:snapToGrid w:val="0"/>
                <w:color w:val="000000"/>
                <w:rtl/>
              </w:rPr>
            </w:pPr>
            <w:r w:rsidRPr="00F467D9">
              <w:rPr>
                <w:rFonts w:ascii="Simplified Arabic" w:hAnsi="Simplified Arabic" w:cs="Simplified Arabic"/>
                <w:b/>
                <w:bCs/>
                <w:snapToGrid w:val="0"/>
                <w:color w:val="000000"/>
                <w:rtl/>
              </w:rPr>
              <w:t>2010</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b/>
                <w:bCs/>
                <w:snapToGrid w:val="0"/>
                <w:color w:val="000000"/>
              </w:rPr>
            </w:pPr>
            <w:r w:rsidRPr="00F467D9">
              <w:rPr>
                <w:rFonts w:ascii="Simplified Arabic" w:hAnsi="Simplified Arabic" w:cs="Simplified Arabic"/>
                <w:b/>
                <w:bCs/>
                <w:snapToGrid w:val="0"/>
                <w:color w:val="000000"/>
                <w:rtl/>
              </w:rPr>
              <w:t>2011</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b/>
                <w:bCs/>
                <w:snapToGrid w:val="0"/>
                <w:color w:val="000000"/>
                <w:rtl/>
              </w:rPr>
            </w:pPr>
            <w:r w:rsidRPr="00F467D9">
              <w:rPr>
                <w:rFonts w:ascii="Simplified Arabic" w:hAnsi="Simplified Arabic" w:cs="Simplified Arabic"/>
                <w:b/>
                <w:bCs/>
                <w:snapToGrid w:val="0"/>
                <w:color w:val="000000"/>
                <w:rtl/>
              </w:rPr>
              <w:t>2012</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b/>
                <w:bCs/>
                <w:snapToGrid w:val="0"/>
                <w:color w:val="000000"/>
                <w:rtl/>
              </w:rPr>
            </w:pPr>
            <w:r w:rsidRPr="00F467D9">
              <w:rPr>
                <w:rFonts w:ascii="Simplified Arabic" w:hAnsi="Simplified Arabic" w:cs="Simplified Arabic"/>
                <w:b/>
                <w:bCs/>
                <w:snapToGrid w:val="0"/>
                <w:color w:val="000000"/>
                <w:rtl/>
              </w:rPr>
              <w:t>2013</w:t>
            </w:r>
          </w:p>
        </w:tc>
        <w:tc>
          <w:tcPr>
            <w:tcW w:w="778" w:type="dxa"/>
            <w:vAlign w:val="center"/>
          </w:tcPr>
          <w:p w:rsidR="0081251D" w:rsidRPr="00F467D9" w:rsidRDefault="0081251D" w:rsidP="00F77884">
            <w:pPr>
              <w:spacing w:after="0" w:line="240" w:lineRule="auto"/>
              <w:jc w:val="lowKashida"/>
              <w:rPr>
                <w:rFonts w:ascii="Simplified Arabic" w:hAnsi="Simplified Arabic" w:cs="Simplified Arabic"/>
                <w:b/>
                <w:bCs/>
              </w:rPr>
            </w:pPr>
            <w:r w:rsidRPr="00F467D9">
              <w:rPr>
                <w:rFonts w:ascii="Simplified Arabic" w:hAnsi="Simplified Arabic" w:cs="Simplified Arabic"/>
                <w:b/>
                <w:bCs/>
                <w:rtl/>
              </w:rPr>
              <w:t>2014</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b/>
                <w:bCs/>
              </w:rPr>
            </w:pPr>
          </w:p>
        </w:tc>
      </w:tr>
      <w:tr w:rsidR="0081251D" w:rsidRPr="00F467D9" w:rsidTr="000F7479">
        <w:trPr>
          <w:jc w:val="right"/>
        </w:trPr>
        <w:tc>
          <w:tcPr>
            <w:tcW w:w="1874" w:type="dxa"/>
            <w:vAlign w:val="center"/>
          </w:tcPr>
          <w:p w:rsidR="0081251D" w:rsidRPr="00F467D9" w:rsidRDefault="0081251D" w:rsidP="00F77884">
            <w:pPr>
              <w:spacing w:after="0" w:line="240" w:lineRule="auto"/>
              <w:jc w:val="lowKashida"/>
              <w:rPr>
                <w:rFonts w:ascii="Simplified Arabic" w:hAnsi="Simplified Arabic" w:cs="Simplified Arabic"/>
              </w:rPr>
            </w:pPr>
            <w:r w:rsidRPr="00F467D9">
              <w:rPr>
                <w:rFonts w:ascii="Simplified Arabic" w:hAnsi="Simplified Arabic" w:cs="Simplified Arabic"/>
                <w:rtl/>
              </w:rPr>
              <w:t>نسبة البطالة</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rPr>
            </w:pPr>
            <w:r w:rsidRPr="00F467D9">
              <w:rPr>
                <w:rFonts w:ascii="Simplified Arabic" w:hAnsi="Simplified Arabic" w:cs="Simplified Arabic"/>
                <w:rtl/>
              </w:rPr>
              <w:t>24.5</w:t>
            </w:r>
          </w:p>
        </w:tc>
        <w:tc>
          <w:tcPr>
            <w:tcW w:w="739" w:type="dxa"/>
            <w:vAlign w:val="center"/>
          </w:tcPr>
          <w:p w:rsidR="0081251D" w:rsidRPr="00F467D9" w:rsidRDefault="0081251D" w:rsidP="00F77884">
            <w:pPr>
              <w:spacing w:after="0" w:line="240" w:lineRule="auto"/>
              <w:jc w:val="lowKashida"/>
              <w:rPr>
                <w:rFonts w:ascii="Simplified Arabic" w:hAnsi="Simplified Arabic" w:cs="Simplified Arabic"/>
              </w:rPr>
            </w:pPr>
            <w:r w:rsidRPr="00F467D9">
              <w:rPr>
                <w:rFonts w:ascii="Simplified Arabic" w:hAnsi="Simplified Arabic" w:cs="Simplified Arabic"/>
                <w:rtl/>
              </w:rPr>
              <w:t>23.7</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Pr>
            </w:pPr>
            <w:r w:rsidRPr="00F467D9">
              <w:rPr>
                <w:rFonts w:ascii="Simplified Arabic" w:hAnsi="Simplified Arabic" w:cs="Simplified Arabic"/>
                <w:snapToGrid w:val="0"/>
                <w:color w:val="000000"/>
                <w:rtl/>
              </w:rPr>
              <w:t>20.9</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tl/>
              </w:rPr>
            </w:pPr>
            <w:r w:rsidRPr="00F467D9">
              <w:rPr>
                <w:rFonts w:ascii="Simplified Arabic" w:hAnsi="Simplified Arabic" w:cs="Simplified Arabic"/>
                <w:snapToGrid w:val="0"/>
                <w:color w:val="000000"/>
                <w:rtl/>
              </w:rPr>
              <w:t>23</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tl/>
              </w:rPr>
            </w:pPr>
            <w:r w:rsidRPr="00F467D9">
              <w:rPr>
                <w:rFonts w:ascii="Simplified Arabic" w:hAnsi="Simplified Arabic" w:cs="Simplified Arabic"/>
                <w:snapToGrid w:val="0"/>
                <w:color w:val="000000"/>
                <w:rtl/>
              </w:rPr>
              <w:t>23.4</w:t>
            </w:r>
          </w:p>
        </w:tc>
        <w:tc>
          <w:tcPr>
            <w:tcW w:w="778" w:type="dxa"/>
            <w:vAlign w:val="center"/>
          </w:tcPr>
          <w:p w:rsidR="0081251D" w:rsidRPr="00F467D9" w:rsidRDefault="0081251D" w:rsidP="00F77884">
            <w:pPr>
              <w:spacing w:after="0" w:line="240" w:lineRule="auto"/>
              <w:jc w:val="lowKashida"/>
              <w:rPr>
                <w:rFonts w:ascii="Simplified Arabic" w:hAnsi="Simplified Arabic" w:cs="Simplified Arabic"/>
              </w:rPr>
            </w:pPr>
            <w:r w:rsidRPr="00F467D9">
              <w:rPr>
                <w:rFonts w:ascii="Simplified Arabic" w:hAnsi="Simplified Arabic" w:cs="Simplified Arabic"/>
                <w:rtl/>
              </w:rPr>
              <w:t>26.9</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rPr>
            </w:pPr>
          </w:p>
        </w:tc>
      </w:tr>
      <w:tr w:rsidR="0081251D" w:rsidRPr="00F467D9" w:rsidTr="000F7479">
        <w:trPr>
          <w:jc w:val="right"/>
        </w:trPr>
        <w:tc>
          <w:tcPr>
            <w:tcW w:w="1874" w:type="dxa"/>
            <w:vAlign w:val="center"/>
          </w:tcPr>
          <w:p w:rsidR="0081251D" w:rsidRPr="00F467D9" w:rsidRDefault="0081251D" w:rsidP="00F77884">
            <w:pPr>
              <w:spacing w:after="0" w:line="240" w:lineRule="auto"/>
              <w:jc w:val="lowKashida"/>
              <w:rPr>
                <w:rFonts w:ascii="Simplified Arabic" w:hAnsi="Simplified Arabic" w:cs="Simplified Arabic"/>
              </w:rPr>
            </w:pPr>
            <w:r w:rsidRPr="00F467D9">
              <w:rPr>
                <w:rFonts w:ascii="Simplified Arabic" w:hAnsi="Simplified Arabic" w:cs="Simplified Arabic"/>
                <w:rtl/>
              </w:rPr>
              <w:t>نسبة العمالة في إسرائيل</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rPr>
            </w:pPr>
            <w:r w:rsidRPr="00F467D9">
              <w:rPr>
                <w:rFonts w:ascii="Simplified Arabic" w:hAnsi="Simplified Arabic" w:cs="Simplified Arabic"/>
              </w:rPr>
              <w:t>10.2</w:t>
            </w:r>
          </w:p>
        </w:tc>
        <w:tc>
          <w:tcPr>
            <w:tcW w:w="739"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tl/>
              </w:rPr>
            </w:pPr>
            <w:r w:rsidRPr="00F467D9">
              <w:rPr>
                <w:rFonts w:ascii="Simplified Arabic" w:hAnsi="Simplified Arabic" w:cs="Simplified Arabic"/>
                <w:snapToGrid w:val="0"/>
                <w:color w:val="000000"/>
                <w:rtl/>
              </w:rPr>
              <w:t>10.5</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Pr>
            </w:pPr>
            <w:r w:rsidRPr="00F467D9">
              <w:rPr>
                <w:rFonts w:ascii="Simplified Arabic" w:hAnsi="Simplified Arabic" w:cs="Simplified Arabic"/>
                <w:snapToGrid w:val="0"/>
                <w:color w:val="000000"/>
                <w:rtl/>
              </w:rPr>
              <w:t>10.0</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tl/>
              </w:rPr>
            </w:pPr>
            <w:r w:rsidRPr="00F467D9">
              <w:rPr>
                <w:rFonts w:ascii="Simplified Arabic" w:hAnsi="Simplified Arabic" w:cs="Simplified Arabic"/>
                <w:snapToGrid w:val="0"/>
                <w:color w:val="000000"/>
                <w:rtl/>
              </w:rPr>
              <w:t>9.7</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snapToGrid w:val="0"/>
                <w:color w:val="000000"/>
                <w:rtl/>
              </w:rPr>
            </w:pPr>
            <w:r w:rsidRPr="00F467D9">
              <w:rPr>
                <w:rFonts w:ascii="Simplified Arabic" w:hAnsi="Simplified Arabic" w:cs="Simplified Arabic"/>
                <w:snapToGrid w:val="0"/>
                <w:color w:val="000000"/>
                <w:rtl/>
              </w:rPr>
              <w:t>11.2</w:t>
            </w:r>
          </w:p>
        </w:tc>
        <w:tc>
          <w:tcPr>
            <w:tcW w:w="778" w:type="dxa"/>
            <w:vAlign w:val="center"/>
          </w:tcPr>
          <w:p w:rsidR="0081251D" w:rsidRPr="00F467D9" w:rsidRDefault="0081251D" w:rsidP="00F77884">
            <w:pPr>
              <w:spacing w:after="0" w:line="240" w:lineRule="auto"/>
              <w:jc w:val="lowKashida"/>
              <w:rPr>
                <w:rFonts w:ascii="Simplified Arabic" w:hAnsi="Simplified Arabic" w:cs="Simplified Arabic"/>
              </w:rPr>
            </w:pPr>
            <w:r w:rsidRPr="00F467D9">
              <w:rPr>
                <w:rFonts w:ascii="Simplified Arabic" w:hAnsi="Simplified Arabic" w:cs="Simplified Arabic"/>
                <w:rtl/>
              </w:rPr>
              <w:t>11.7</w:t>
            </w:r>
          </w:p>
        </w:tc>
        <w:tc>
          <w:tcPr>
            <w:tcW w:w="711" w:type="dxa"/>
            <w:vAlign w:val="center"/>
          </w:tcPr>
          <w:p w:rsidR="0081251D" w:rsidRPr="00F467D9" w:rsidRDefault="0081251D" w:rsidP="00F77884">
            <w:pPr>
              <w:spacing w:after="0" w:line="240" w:lineRule="auto"/>
              <w:jc w:val="lowKashida"/>
              <w:rPr>
                <w:rFonts w:ascii="Simplified Arabic" w:hAnsi="Simplified Arabic" w:cs="Simplified Arabic"/>
              </w:rPr>
            </w:pPr>
          </w:p>
        </w:tc>
      </w:tr>
    </w:tbl>
    <w:p w:rsidR="001B28C7" w:rsidRPr="0081251D" w:rsidRDefault="001B28C7" w:rsidP="00F77884">
      <w:pPr>
        <w:spacing w:after="0" w:line="240" w:lineRule="auto"/>
        <w:jc w:val="lowKashida"/>
        <w:rPr>
          <w:rFonts w:ascii="Simplified Arabic" w:hAnsi="Simplified Arabic" w:cs="Simplified Arabic"/>
          <w:b/>
          <w:bCs/>
          <w:sz w:val="20"/>
          <w:szCs w:val="20"/>
          <w:rtl/>
          <w:lang w:bidi="ar-IQ"/>
        </w:rPr>
      </w:pPr>
      <w:r w:rsidRPr="0081251D">
        <w:rPr>
          <w:rFonts w:ascii="Simplified Arabic" w:eastAsia="Times New Roman" w:hAnsi="Simplified Arabic" w:cs="Simplified Arabic"/>
          <w:b/>
          <w:bCs/>
          <w:sz w:val="20"/>
          <w:szCs w:val="20"/>
          <w:rtl/>
        </w:rPr>
        <w:t>المصدر : الجهاز المركزي للإحصاء الفلسطيني، مسح القوى العاملة، التقارير السنوية 1995-2014.</w:t>
      </w:r>
    </w:p>
    <w:p w:rsidR="001B28C7" w:rsidRPr="003C4F92" w:rsidRDefault="001B28C7" w:rsidP="003C4F92">
      <w:pPr>
        <w:spacing w:after="0" w:line="240" w:lineRule="auto"/>
        <w:ind w:firstLine="567"/>
        <w:jc w:val="lowKashida"/>
        <w:outlineLvl w:val="2"/>
        <w:rPr>
          <w:rFonts w:ascii="Times New Roman" w:eastAsia="Times New Roman" w:hAnsi="Times New Roman" w:cs="Mudir MT"/>
          <w:bCs/>
          <w:sz w:val="28"/>
          <w:szCs w:val="28"/>
          <w:lang w:val="x-none" w:eastAsia="x-none"/>
        </w:rPr>
      </w:pPr>
      <w:r w:rsidRPr="003C4F92">
        <w:rPr>
          <w:rFonts w:ascii="Times New Roman" w:eastAsia="Times New Roman" w:hAnsi="Times New Roman" w:cs="Mudir MT"/>
          <w:bCs/>
          <w:sz w:val="28"/>
          <w:szCs w:val="28"/>
          <w:rtl/>
          <w:lang w:val="x-none" w:eastAsia="x-none"/>
        </w:rPr>
        <w:t>ثانياً : السيطرة الإسرائيلية على الأرض والموارد الطبيعية:</w:t>
      </w:r>
    </w:p>
    <w:p w:rsidR="001B28C7" w:rsidRPr="00236FEE" w:rsidRDefault="001B28C7" w:rsidP="003C4F92">
      <w:pPr>
        <w:spacing w:after="12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t>تعاني فلسطين شحّاً كبيراً في الموارد والثروات الطبيعيّة، وحتى القليل المتوفر لدى المناطق الفلسطينية من هذه الموارد، حرصت إسرائيل باستمرار على السيطرة عليه، وحرمان الفلسطينيين من استغلاله والانتفاع منه، حتى يبقى الاقتصاد الفلسطيني يدور في فلك التبعية للاقتصاد الإسرائيلي، وبالتالي فإنّ سيطرة إسرائيل على هذه الموارد يمثّل تهديداً مستمرّاً للاقتصاد الفلسطيني وللأمن القومي الفلسطيني، فالموارد الطبيعية تشكّل الركيزة الأساسية الّتي من شأنها ضمان الاستقلالية الاقتصادية للدولة الفلسطينية القابلة للحياة في المستقبل، والرافعة المهمّة للاقتصاد الفلسطيني، التي يمكن لها أن تدفعه نحو النموّ المستدام.</w:t>
      </w:r>
    </w:p>
    <w:p w:rsidR="001B28C7" w:rsidRDefault="001B28C7" w:rsidP="003C4F92">
      <w:pPr>
        <w:spacing w:after="12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t>نستعرض فيما يلي لأهمّ الموارد الطبيعية التي تسيطر عليها إسرائيل :</w:t>
      </w:r>
    </w:p>
    <w:p w:rsidR="001B28C7" w:rsidRPr="00CA2E2D" w:rsidRDefault="001B28C7" w:rsidP="00624491">
      <w:pPr>
        <w:numPr>
          <w:ilvl w:val="0"/>
          <w:numId w:val="25"/>
        </w:numPr>
        <w:spacing w:after="120" w:line="240" w:lineRule="auto"/>
        <w:ind w:left="0" w:firstLine="567"/>
        <w:jc w:val="lowKashida"/>
        <w:rPr>
          <w:rFonts w:ascii="Simplified Arabic" w:hAnsi="Simplified Arabic" w:cs="Simplified Arabic"/>
          <w:b/>
          <w:bCs/>
          <w:sz w:val="26"/>
          <w:szCs w:val="26"/>
          <w:rtl/>
          <w:lang w:bidi="ar-IQ"/>
        </w:rPr>
      </w:pPr>
      <w:r w:rsidRPr="00CA2E2D">
        <w:rPr>
          <w:rFonts w:ascii="Simplified Arabic" w:hAnsi="Simplified Arabic" w:cs="Simplified Arabic"/>
          <w:b/>
          <w:bCs/>
          <w:sz w:val="26"/>
          <w:szCs w:val="26"/>
          <w:rtl/>
          <w:lang w:bidi="ar-IQ"/>
        </w:rPr>
        <w:t>الثروات النفطية ومصادر الطاقة:</w:t>
      </w:r>
    </w:p>
    <w:p w:rsidR="001B28C7" w:rsidRPr="00236FEE" w:rsidRDefault="001B28C7" w:rsidP="00624491">
      <w:pPr>
        <w:numPr>
          <w:ilvl w:val="0"/>
          <w:numId w:val="26"/>
        </w:numPr>
        <w:spacing w:after="120" w:line="240" w:lineRule="auto"/>
        <w:ind w:left="0" w:firstLine="567"/>
        <w:jc w:val="lowKashida"/>
        <w:rPr>
          <w:rFonts w:ascii="Simplified Arabic" w:hAnsi="Simplified Arabic" w:cs="Simplified Arabic"/>
          <w:sz w:val="24"/>
          <w:szCs w:val="24"/>
          <w:lang w:bidi="ar-IQ"/>
        </w:rPr>
      </w:pPr>
      <w:r w:rsidRPr="00236FEE">
        <w:rPr>
          <w:rFonts w:ascii="Simplified Arabic" w:hAnsi="Simplified Arabic" w:cs="Simplified Arabic"/>
          <w:sz w:val="24"/>
          <w:szCs w:val="24"/>
          <w:rtl/>
        </w:rPr>
        <w:t xml:space="preserve">الحقل النفطي في منطقة </w:t>
      </w:r>
      <w:proofErr w:type="spellStart"/>
      <w:r w:rsidRPr="00236FEE">
        <w:rPr>
          <w:rFonts w:ascii="Simplified Arabic" w:hAnsi="Simplified Arabic" w:cs="Simplified Arabic"/>
          <w:sz w:val="24"/>
          <w:szCs w:val="24"/>
          <w:rtl/>
        </w:rPr>
        <w:t>رنتيس</w:t>
      </w:r>
      <w:proofErr w:type="spellEnd"/>
      <w:r w:rsidRPr="00236FEE">
        <w:rPr>
          <w:rFonts w:ascii="Simplified Arabic" w:hAnsi="Simplified Arabic" w:cs="Simplified Arabic"/>
          <w:sz w:val="24"/>
          <w:szCs w:val="24"/>
          <w:rtl/>
        </w:rPr>
        <w:t xml:space="preserve"> غرب رام الله: تتراوح مساحة حقل النفط المكتشف في هذه المنطقة بين 600 و700 كلم2، معظمها يقع في الأراضي المحتلة عام 1967م، حيث يقدر حجم الإنتاج في ذلك الحقل بـ (800) برميل يوميّاً، وتشير التقديرات أنّ حجم المخزون في هذا الحقل قد يصل إلى (180 مليون) برميل، تقدر قيمة إيرادات السلطة الفلسطينية منها حوالي(1.3 مليار) دولار أمريكي</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rPr>
        <w:footnoteReference w:id="18"/>
      </w:r>
      <w:r w:rsidRPr="00236FEE">
        <w:rPr>
          <w:rFonts w:ascii="Simplified Arabic" w:hAnsi="Simplified Arabic" w:cs="Simplified Arabic"/>
          <w:sz w:val="24"/>
          <w:szCs w:val="24"/>
          <w:vertAlign w:val="superscript"/>
          <w:rtl/>
        </w:rPr>
        <w:t>)</w:t>
      </w:r>
      <w:r w:rsidRPr="00236FEE">
        <w:rPr>
          <w:rFonts w:ascii="Simplified Arabic" w:hAnsi="Simplified Arabic" w:cs="Simplified Arabic"/>
          <w:sz w:val="24"/>
          <w:szCs w:val="24"/>
          <w:lang w:bidi="ar-IQ"/>
        </w:rPr>
        <w:t>.</w:t>
      </w:r>
    </w:p>
    <w:p w:rsidR="001B28C7" w:rsidRPr="00236FEE" w:rsidRDefault="001B28C7" w:rsidP="00CA2E2D">
      <w:pPr>
        <w:numPr>
          <w:ilvl w:val="0"/>
          <w:numId w:val="26"/>
        </w:numPr>
        <w:spacing w:after="0" w:line="240" w:lineRule="auto"/>
        <w:ind w:left="0" w:firstLine="567"/>
        <w:jc w:val="lowKashida"/>
        <w:rPr>
          <w:rFonts w:ascii="Simplified Arabic" w:hAnsi="Simplified Arabic" w:cs="Simplified Arabic"/>
          <w:sz w:val="24"/>
          <w:szCs w:val="24"/>
          <w:lang w:bidi="ar-IQ"/>
        </w:rPr>
      </w:pPr>
      <w:r w:rsidRPr="00236FEE">
        <w:rPr>
          <w:rFonts w:ascii="Simplified Arabic" w:hAnsi="Simplified Arabic" w:cs="Simplified Arabic"/>
          <w:sz w:val="24"/>
          <w:szCs w:val="24"/>
          <w:rtl/>
        </w:rPr>
        <w:lastRenderedPageBreak/>
        <w:t>حقول الغاز في غزة:  اكتشف في مياه غزة الإقليمية حقلان للغاز: الحقل الأكبر "غزة مارين"، وهو الحقل الرئيسي ويقع على عمق 603 أمتار تحت سطح البحر و36 كم غرب مدينة غزة، والحقل الحدودي "</w:t>
      </w:r>
      <w:proofErr w:type="spellStart"/>
      <w:r w:rsidRPr="00236FEE">
        <w:rPr>
          <w:rFonts w:ascii="Simplified Arabic" w:hAnsi="Simplified Arabic" w:cs="Simplified Arabic"/>
          <w:sz w:val="24"/>
          <w:szCs w:val="24"/>
          <w:rtl/>
        </w:rPr>
        <w:t>بوردرفيلد</w:t>
      </w:r>
      <w:proofErr w:type="spellEnd"/>
      <w:r w:rsidRPr="00236FEE">
        <w:rPr>
          <w:rFonts w:ascii="Simplified Arabic" w:hAnsi="Simplified Arabic" w:cs="Simplified Arabic"/>
          <w:sz w:val="24"/>
          <w:szCs w:val="24"/>
          <w:rtl/>
        </w:rPr>
        <w:t>" وهو أصغر سعةً ويمتد عبر الحدود الدولية الفاصلة بين المياه الإقليمية لقطاع غزة والمياه الإقليمية لإسرائيل،</w:t>
      </w:r>
      <w:r w:rsidRPr="00236FEE">
        <w:rPr>
          <w:rFonts w:ascii="Simplified Arabic" w:hAnsi="Simplified Arabic" w:cs="Simplified Arabic"/>
          <w:sz w:val="24"/>
          <w:szCs w:val="24"/>
          <w:rtl/>
          <w:lang w:bidi="ar-IQ"/>
        </w:rPr>
        <w:t xml:space="preserve"> و</w:t>
      </w:r>
      <w:r w:rsidRPr="00236FEE">
        <w:rPr>
          <w:rFonts w:ascii="Simplified Arabic" w:hAnsi="Simplified Arabic" w:cs="Simplified Arabic"/>
          <w:sz w:val="24"/>
          <w:szCs w:val="24"/>
          <w:rtl/>
        </w:rPr>
        <w:t>تقدِّر شركة الغاز البريطانية " بريتش جاز" حجم الاحتياطيات في الحقلين بـ (1.1تريليون) قدم مكعب من الغاز الطبيعي، تُقدّر القيمة السوقية لها حوالي (8 مليار) دولار أمريكي، وهذه الكمية تكفي لتلبية احتياجات الفلسطينيين على مدى السنوات العشرين المقبلة، وهو الموعد المقدَّر لنضوب مخزون الحقلين من الغاز وفقًا لمستويات الاستهلاك الحالية للفلسطينيين في غزة والضفة الغربية</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rPr>
        <w:footnoteReference w:id="19"/>
      </w:r>
      <w:r w:rsidRPr="00236FEE">
        <w:rPr>
          <w:rFonts w:ascii="Simplified Arabic" w:hAnsi="Simplified Arabic" w:cs="Simplified Arabic"/>
          <w:sz w:val="24"/>
          <w:szCs w:val="24"/>
          <w:vertAlign w:val="superscript"/>
          <w:rtl/>
        </w:rPr>
        <w:t>)</w:t>
      </w:r>
      <w:r w:rsidRPr="00236FEE">
        <w:rPr>
          <w:rFonts w:ascii="Simplified Arabic" w:hAnsi="Simplified Arabic" w:cs="Simplified Arabic"/>
          <w:sz w:val="24"/>
          <w:szCs w:val="24"/>
          <w:rtl/>
        </w:rPr>
        <w:t>.</w:t>
      </w:r>
    </w:p>
    <w:p w:rsidR="001B28C7" w:rsidRPr="00236FEE" w:rsidRDefault="001B28C7" w:rsidP="00CA2E2D">
      <w:pPr>
        <w:spacing w:after="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t>من المتوقع أنّ استغلال حقول الغاز سيحقق عوائد مالية كبيرة، ستكون بمثابة الحل للأزمات المالية التي تتعرض لها السلطة الفلسطينية، وستمكنها من التخلص من الابتزاز المالي الإسرائيلي المستمر، فضلاً عن توفير مصدر طاقة محلّي لمحطات الكهرباء الفلسطينية، عوضاً عن استيرادها من إسرائيل، ممّا سيحرّر الفلسطينيين من الهيمنة الإسرائيلية على مصادر الطاقة في قطاع غزة، وتفادي الضغوط السياسية التي تمارسها إسرائيل من خلال قطع إمدادات الطاقة والوقود للفلسطينيين</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rPr>
        <w:footnoteReference w:id="20"/>
      </w:r>
      <w:r w:rsidRPr="00236FEE">
        <w:rPr>
          <w:rFonts w:ascii="Simplified Arabic" w:hAnsi="Simplified Arabic" w:cs="Simplified Arabic"/>
          <w:sz w:val="24"/>
          <w:szCs w:val="24"/>
          <w:vertAlign w:val="superscript"/>
          <w:rtl/>
        </w:rPr>
        <w:t>)</w:t>
      </w:r>
      <w:r w:rsidRPr="00236FEE">
        <w:rPr>
          <w:rFonts w:ascii="Simplified Arabic" w:hAnsi="Simplified Arabic" w:cs="Simplified Arabic"/>
          <w:sz w:val="24"/>
          <w:szCs w:val="24"/>
          <w:rtl/>
        </w:rPr>
        <w:t>.</w:t>
      </w:r>
    </w:p>
    <w:p w:rsidR="001B28C7" w:rsidRPr="00CA2E2D" w:rsidRDefault="001B28C7" w:rsidP="00CA2E2D">
      <w:pPr>
        <w:numPr>
          <w:ilvl w:val="0"/>
          <w:numId w:val="25"/>
        </w:numPr>
        <w:spacing w:after="0" w:line="240" w:lineRule="auto"/>
        <w:ind w:left="0" w:firstLine="567"/>
        <w:jc w:val="lowKashida"/>
        <w:rPr>
          <w:rFonts w:ascii="Simplified Arabic" w:hAnsi="Simplified Arabic" w:cs="Simplified Arabic"/>
          <w:sz w:val="26"/>
          <w:szCs w:val="26"/>
          <w:rtl/>
        </w:rPr>
      </w:pPr>
      <w:r w:rsidRPr="00CA2E2D">
        <w:rPr>
          <w:rFonts w:ascii="Simplified Arabic" w:hAnsi="Simplified Arabic" w:cs="Simplified Arabic"/>
          <w:b/>
          <w:bCs/>
          <w:sz w:val="26"/>
          <w:szCs w:val="26"/>
          <w:rtl/>
        </w:rPr>
        <w:t>الموارد الطبيعية في المنطقة ج :</w:t>
      </w:r>
    </w:p>
    <w:p w:rsidR="001B28C7" w:rsidRPr="00236FEE" w:rsidRDefault="001B28C7" w:rsidP="00CA2E2D">
      <w:pPr>
        <w:spacing w:after="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t>تمثل المنطقة(ج) أكثر من 61% من مساحة الضفة الغربية، وهي تخضع لسيطرة إسرائيلية كاملة، وتضم أكثر المساحات الزراعية خصوبة ومعظم الأراضي الفلسطينية المخصصة للأنشطة الإنمائية، ويؤدي احتلال المنطقة(ج) إلى حرمان جهود التنمية الفلسطينية من الاستفادة من61% من مساحة الأراضي الفلسطينية في الضفة الغربية ومواردها الطبيعية، وتقطيع أوصال أراضي الضفة الغربية كلها، ممّا يعيق جهود التنمية الفلسطينية في كافة الأرض الفلسطينية،  وذلك بسبب منع تنفيذ أي مشاريع تطوير معقولة للبنية التحتية أو القطاع الخاص داخل المدن والقرى الفلسطينية.</w:t>
      </w:r>
    </w:p>
    <w:p w:rsidR="001B28C7" w:rsidRPr="00236FEE" w:rsidRDefault="001B28C7" w:rsidP="00624491">
      <w:pPr>
        <w:spacing w:after="12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lastRenderedPageBreak/>
        <w:t>قد</w:t>
      </w:r>
      <w:r w:rsidRPr="00236FEE">
        <w:rPr>
          <w:rFonts w:ascii="Simplified Arabic" w:hAnsi="Simplified Arabic" w:cs="Simplified Arabic"/>
          <w:sz w:val="24"/>
          <w:szCs w:val="24"/>
          <w:rtl/>
          <w:lang w:bidi="ar-IQ"/>
        </w:rPr>
        <w:t>ّ</w:t>
      </w:r>
      <w:r w:rsidRPr="00236FEE">
        <w:rPr>
          <w:rFonts w:ascii="Simplified Arabic" w:hAnsi="Simplified Arabic" w:cs="Simplified Arabic"/>
          <w:sz w:val="24"/>
          <w:szCs w:val="24"/>
          <w:rtl/>
        </w:rPr>
        <w:t>رت دراسة للبنك الدولي التكاليف الاقتصادية المباشرة وغير المباشرة لاحتلال المنطقة (ج) في قطاعات محدّدة: وهي الزراعة، واستغلال أملاح ومعادن البحر الميت، ومقالع الحجارة والمحاجر، والبناء، والسياحة، والاتصالات، ومستحضرات التجميل، وكانت أهم النتائج على النحو التالي:</w:t>
      </w:r>
    </w:p>
    <w:p w:rsidR="001B28C7" w:rsidRPr="00236FEE" w:rsidRDefault="001B28C7" w:rsidP="00624491">
      <w:pPr>
        <w:numPr>
          <w:ilvl w:val="0"/>
          <w:numId w:val="27"/>
        </w:numPr>
        <w:spacing w:after="120" w:line="240" w:lineRule="auto"/>
        <w:ind w:left="0" w:firstLine="567"/>
        <w:jc w:val="lowKashida"/>
        <w:rPr>
          <w:rFonts w:ascii="Simplified Arabic" w:hAnsi="Simplified Arabic" w:cs="Simplified Arabic"/>
          <w:sz w:val="24"/>
          <w:szCs w:val="24"/>
          <w:lang w:bidi="ar-IQ"/>
        </w:rPr>
      </w:pPr>
      <w:r w:rsidRPr="00236FEE">
        <w:rPr>
          <w:rFonts w:ascii="Simplified Arabic" w:hAnsi="Simplified Arabic" w:cs="Simplified Arabic"/>
          <w:sz w:val="24"/>
          <w:szCs w:val="24"/>
          <w:rtl/>
        </w:rPr>
        <w:t>إتاحة الفرصة للفلسطينيين للوصول إلى (326400) دونماً من الأراضي الزراعية، ومئات آلاف الدونمات من المراعي والغابات، فضلاً عن الوصول إلى مياه الري في المنطقة(ج)، ستؤدّي إلى زيادة الناتج المحلّي الإجمالي الفلسطيني بمقدار (704) مليون دولار سنوياً.</w:t>
      </w:r>
    </w:p>
    <w:p w:rsidR="001B28C7" w:rsidRPr="00236FEE" w:rsidRDefault="001B28C7" w:rsidP="00624491">
      <w:pPr>
        <w:numPr>
          <w:ilvl w:val="0"/>
          <w:numId w:val="27"/>
        </w:numPr>
        <w:spacing w:after="120" w:line="240" w:lineRule="auto"/>
        <w:ind w:left="0" w:firstLine="567"/>
        <w:jc w:val="lowKashida"/>
        <w:rPr>
          <w:rFonts w:ascii="Simplified Arabic" w:hAnsi="Simplified Arabic" w:cs="Simplified Arabic"/>
          <w:sz w:val="24"/>
          <w:szCs w:val="24"/>
          <w:lang w:bidi="ar-IQ"/>
        </w:rPr>
      </w:pPr>
      <w:r w:rsidRPr="00236FEE">
        <w:rPr>
          <w:rFonts w:ascii="Simplified Arabic" w:hAnsi="Simplified Arabic" w:cs="Simplified Arabic"/>
          <w:sz w:val="24"/>
          <w:szCs w:val="24"/>
          <w:rtl/>
        </w:rPr>
        <w:t xml:space="preserve">إتاحة الفرصة للفلسطينيين للوصول إلى ترسبات البوتاس </w:t>
      </w:r>
      <w:proofErr w:type="spellStart"/>
      <w:r w:rsidRPr="00236FEE">
        <w:rPr>
          <w:rFonts w:ascii="Simplified Arabic" w:hAnsi="Simplified Arabic" w:cs="Simplified Arabic"/>
          <w:sz w:val="24"/>
          <w:szCs w:val="24"/>
          <w:rtl/>
        </w:rPr>
        <w:t>والبرومين</w:t>
      </w:r>
      <w:proofErr w:type="spellEnd"/>
      <w:r w:rsidRPr="00236FEE">
        <w:rPr>
          <w:rFonts w:ascii="Simplified Arabic" w:hAnsi="Simplified Arabic" w:cs="Simplified Arabic"/>
          <w:sz w:val="24"/>
          <w:szCs w:val="24"/>
          <w:rtl/>
        </w:rPr>
        <w:t xml:space="preserve"> في البحر الميت، وهي ترسبات كبيرة ورخيصة ويسهل استغلالها، ستؤدّي إلى زيادة الناتج المحلّي الإجمالي الفلسطيني بمقدار (918) مليون دولار سنوياً.</w:t>
      </w:r>
    </w:p>
    <w:p w:rsidR="001B28C7" w:rsidRPr="00236FEE" w:rsidRDefault="001B28C7" w:rsidP="00624491">
      <w:pPr>
        <w:numPr>
          <w:ilvl w:val="0"/>
          <w:numId w:val="27"/>
        </w:numPr>
        <w:spacing w:after="120" w:line="240" w:lineRule="auto"/>
        <w:ind w:left="0" w:firstLine="567"/>
        <w:jc w:val="lowKashida"/>
        <w:rPr>
          <w:rFonts w:ascii="Simplified Arabic" w:hAnsi="Simplified Arabic" w:cs="Simplified Arabic"/>
          <w:sz w:val="24"/>
          <w:szCs w:val="24"/>
          <w:lang w:bidi="ar-IQ"/>
        </w:rPr>
      </w:pPr>
      <w:r w:rsidRPr="00236FEE">
        <w:rPr>
          <w:rFonts w:ascii="Simplified Arabic" w:hAnsi="Simplified Arabic" w:cs="Simplified Arabic"/>
          <w:sz w:val="24"/>
          <w:szCs w:val="24"/>
          <w:rtl/>
        </w:rPr>
        <w:t xml:space="preserve">إتاحة الفرصة للفلسطينيين للوصول إلى (20000) دونماً  من الأراضي التي تستخدم لأغراض قلع الحجارة، ومضاعفة حجم صناعة مقالع الحجارة والمحاجر الفلسطينية، ستؤدّي إلى الناتج المحلّي الإجمالي الفلسطيني بمقدار (241) مليون دولار سنوياً. </w:t>
      </w:r>
    </w:p>
    <w:p w:rsidR="001B28C7" w:rsidRPr="00236FEE" w:rsidRDefault="001B28C7" w:rsidP="00624491">
      <w:pPr>
        <w:numPr>
          <w:ilvl w:val="0"/>
          <w:numId w:val="27"/>
        </w:numPr>
        <w:spacing w:after="120" w:line="240" w:lineRule="auto"/>
        <w:ind w:left="0" w:firstLine="567"/>
        <w:jc w:val="lowKashida"/>
        <w:rPr>
          <w:rFonts w:ascii="Simplified Arabic" w:hAnsi="Simplified Arabic" w:cs="Simplified Arabic"/>
          <w:sz w:val="24"/>
          <w:szCs w:val="24"/>
          <w:lang w:bidi="ar-IQ"/>
        </w:rPr>
      </w:pPr>
      <w:r w:rsidRPr="00236FEE">
        <w:rPr>
          <w:rFonts w:ascii="Simplified Arabic" w:hAnsi="Simplified Arabic" w:cs="Simplified Arabic"/>
          <w:sz w:val="24"/>
          <w:szCs w:val="24"/>
          <w:rtl/>
        </w:rPr>
        <w:t>رفع القيود الإسرائيلية المفروضة على قطاعات البناء والسياحة والاتصالات في المنطقة(ج)، سوف يؤدّي إلى زيادة الناتج المحلّي الإجمالي الفلسطيني بمقدار (413) مليون دولار سنوياً</w:t>
      </w:r>
      <w:r w:rsidRPr="00236FEE">
        <w:rPr>
          <w:rFonts w:ascii="Simplified Arabic" w:hAnsi="Simplified Arabic" w:cs="Simplified Arabic"/>
          <w:sz w:val="24"/>
          <w:szCs w:val="24"/>
          <w:lang w:bidi="ar-IQ"/>
        </w:rPr>
        <w:t>.</w:t>
      </w:r>
    </w:p>
    <w:p w:rsidR="001B28C7" w:rsidRPr="00236FEE" w:rsidRDefault="001B28C7" w:rsidP="00624491">
      <w:pPr>
        <w:spacing w:after="120" w:line="240" w:lineRule="auto"/>
        <w:ind w:firstLine="567"/>
        <w:jc w:val="lowKashida"/>
        <w:rPr>
          <w:rFonts w:ascii="Simplified Arabic" w:hAnsi="Simplified Arabic" w:cs="Simplified Arabic"/>
          <w:sz w:val="24"/>
          <w:szCs w:val="24"/>
          <w:rtl/>
          <w:lang w:bidi="ar-IQ"/>
        </w:rPr>
      </w:pPr>
      <w:r w:rsidRPr="00236FEE">
        <w:rPr>
          <w:rFonts w:ascii="Simplified Arabic" w:hAnsi="Simplified Arabic" w:cs="Simplified Arabic"/>
          <w:sz w:val="24"/>
          <w:szCs w:val="24"/>
          <w:rtl/>
        </w:rPr>
        <w:t>إجمالاً أشارت الدراسة أنّ الزيادة المباشرة في ناتج القطاعات التي جرى تقييمها ستكون (2.2) مليار دولار سنوياً، وعند إضافة الزيادة  المتحققة من الفوائد غير المباشرة نتيجة للروابط الاقتصادية الأمامية والخلفية، والتي قدرتها الدراسة بـ (1.2) مليار دولار سنوياً،   فإن مجموع الفوائد المباشرة وغير المباشرة يمكن أن يصل إلى (3.4) مليار دولار</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lang w:bidi="ar-IQ"/>
        </w:rPr>
        <w:footnoteReference w:id="21"/>
      </w:r>
      <w:r w:rsidRPr="00236FEE">
        <w:rPr>
          <w:rFonts w:ascii="Simplified Arabic" w:hAnsi="Simplified Arabic" w:cs="Simplified Arabic"/>
          <w:sz w:val="24"/>
          <w:szCs w:val="24"/>
          <w:vertAlign w:val="superscript"/>
          <w:rtl/>
          <w:lang w:bidi="ar-IQ"/>
        </w:rPr>
        <w:t>)</w:t>
      </w:r>
      <w:r w:rsidRPr="00236FEE">
        <w:rPr>
          <w:rFonts w:ascii="Simplified Arabic" w:hAnsi="Simplified Arabic" w:cs="Simplified Arabic"/>
          <w:sz w:val="24"/>
          <w:szCs w:val="24"/>
          <w:rtl/>
        </w:rPr>
        <w:t>.</w:t>
      </w:r>
    </w:p>
    <w:p w:rsidR="001B28C7" w:rsidRPr="00055ACC" w:rsidRDefault="001B28C7" w:rsidP="00624491">
      <w:pPr>
        <w:numPr>
          <w:ilvl w:val="0"/>
          <w:numId w:val="25"/>
        </w:numPr>
        <w:spacing w:after="120" w:line="240" w:lineRule="auto"/>
        <w:ind w:left="0" w:firstLine="567"/>
        <w:jc w:val="lowKashida"/>
        <w:rPr>
          <w:rFonts w:ascii="Simplified Arabic" w:hAnsi="Simplified Arabic" w:cs="Simplified Arabic"/>
          <w:b/>
          <w:bCs/>
          <w:sz w:val="28"/>
          <w:szCs w:val="28"/>
          <w:lang w:bidi="ar-IQ"/>
        </w:rPr>
      </w:pPr>
      <w:r w:rsidRPr="00055ACC">
        <w:rPr>
          <w:rFonts w:ascii="Simplified Arabic" w:hAnsi="Simplified Arabic" w:cs="Simplified Arabic"/>
          <w:b/>
          <w:bCs/>
          <w:sz w:val="28"/>
          <w:szCs w:val="28"/>
          <w:rtl/>
        </w:rPr>
        <w:lastRenderedPageBreak/>
        <w:t>الموارد الطبيعية في المن</w:t>
      </w:r>
      <w:r w:rsidRPr="00055ACC">
        <w:rPr>
          <w:rFonts w:ascii="Simplified Arabic" w:hAnsi="Simplified Arabic" w:cs="Simplified Arabic"/>
          <w:b/>
          <w:bCs/>
          <w:sz w:val="28"/>
          <w:szCs w:val="28"/>
          <w:rtl/>
          <w:lang w:bidi="ar-IQ"/>
        </w:rPr>
        <w:t>ا</w:t>
      </w:r>
      <w:r w:rsidRPr="00055ACC">
        <w:rPr>
          <w:rFonts w:ascii="Simplified Arabic" w:hAnsi="Simplified Arabic" w:cs="Simplified Arabic"/>
          <w:b/>
          <w:bCs/>
          <w:sz w:val="28"/>
          <w:szCs w:val="28"/>
          <w:rtl/>
        </w:rPr>
        <w:t>طق العازلة في قطاع غزة:</w:t>
      </w:r>
    </w:p>
    <w:p w:rsidR="001B28C7" w:rsidRPr="00236FEE" w:rsidRDefault="001B28C7" w:rsidP="00624491">
      <w:pPr>
        <w:spacing w:after="12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t>تفرض إسرائيل منطقتين عازلتين على الحدود مع قطاع غزة:</w:t>
      </w:r>
    </w:p>
    <w:p w:rsidR="001B28C7" w:rsidRPr="00236FEE" w:rsidRDefault="001B28C7" w:rsidP="00624491">
      <w:pPr>
        <w:spacing w:after="12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b/>
          <w:bCs/>
          <w:sz w:val="24"/>
          <w:szCs w:val="24"/>
          <w:rtl/>
        </w:rPr>
        <w:t>منطقة عازلة بريّة</w:t>
      </w:r>
      <w:r w:rsidRPr="00236FEE">
        <w:rPr>
          <w:rFonts w:ascii="Simplified Arabic" w:hAnsi="Simplified Arabic" w:cs="Simplified Arabic"/>
          <w:sz w:val="24"/>
          <w:szCs w:val="24"/>
          <w:rtl/>
        </w:rPr>
        <w:t xml:space="preserve"> : تتراوح مساحتها ما بين (17% - 24%) من مساحة قطاع غزة، وتضم الأراضي الواقعة في نطاق (500-1500) ، داخل قطاع غزة على امتداد الشريط الحدودي، البالغ طوله 58 كيلومتراً، وتقيم إسرائيل هذه المنطقة بقوّة السلاح، حيث لا يوجد خط فاصل يحدد المنطقة العازلة، فالجيش الإسرائيلي يحددها من فترةٍ لأخرى بإطلاق النار على المزارعين. </w:t>
      </w:r>
    </w:p>
    <w:p w:rsidR="001B28C7" w:rsidRPr="00236FEE" w:rsidRDefault="001B28C7" w:rsidP="00624491">
      <w:pPr>
        <w:spacing w:after="12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t>وأشار تقرير خاص للأمم المتحدة أنّ استمرار وجود هذه المنطقة يعني أنّ حوالي 35% من الأراضي الزراعيّة الخصبة في قطاع غزة عملياً لا يتم استغلالها، ممّا يشكل تهديداً إضافيّاً لمسألة الأمن الغذائي الزراعي,  وأيضاً حرمان أكثر من 15% من مزارعي القطاع من فرص العمل في أراضيهم الخاصّة، وبالتالي انضمامهم إلى جيش العاطلين عن العمل واعتمادهم على المساعدات الغذائية بدلاً من مساهمتهم في إنتاجها</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rPr>
        <w:footnoteReference w:id="22"/>
      </w:r>
      <w:r w:rsidRPr="00236FEE">
        <w:rPr>
          <w:rFonts w:ascii="Simplified Arabic" w:hAnsi="Simplified Arabic" w:cs="Simplified Arabic"/>
          <w:sz w:val="24"/>
          <w:szCs w:val="24"/>
          <w:vertAlign w:val="superscript"/>
          <w:rtl/>
        </w:rPr>
        <w:t>)</w:t>
      </w:r>
      <w:r w:rsidRPr="00236FEE">
        <w:rPr>
          <w:rFonts w:ascii="Simplified Arabic" w:hAnsi="Simplified Arabic" w:cs="Simplified Arabic"/>
          <w:sz w:val="24"/>
          <w:szCs w:val="24"/>
          <w:rtl/>
        </w:rPr>
        <w:t>.</w:t>
      </w:r>
    </w:p>
    <w:p w:rsidR="001B28C7" w:rsidRPr="00236FEE" w:rsidRDefault="001B28C7" w:rsidP="00624491">
      <w:pPr>
        <w:spacing w:after="12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b/>
          <w:bCs/>
          <w:sz w:val="24"/>
          <w:szCs w:val="24"/>
          <w:rtl/>
        </w:rPr>
        <w:t>منطقة عازلة بحريّة</w:t>
      </w:r>
      <w:r w:rsidRPr="00236FEE">
        <w:rPr>
          <w:rFonts w:ascii="Simplified Arabic" w:hAnsi="Simplified Arabic" w:cs="Simplified Arabic"/>
          <w:sz w:val="24"/>
          <w:szCs w:val="24"/>
          <w:rtl/>
        </w:rPr>
        <w:t>:  تمنع إسرائيل بموجبها عمليّات الصيد البحري لمسافة تزيد عن ثلاثة أميال بحرية، (علماً أنّ عمليات الصيد امتدت إلى ستة أميال بحرية خلال الفترة أكتوبر2006- يونيو 2007)، في حين سمح اتفاق أوسلو أن تكون منطقة الصيد مفتوحة حتى 20 ميل بحري، أي أنّ إسرائيل صادرت حق الصيد في 85 % من المناطق المسموح بالصيد فيها بموجب اتفاقية أوسلو، ممّا أدّى إلى انخفاض عدد الصيادين من(</w:t>
      </w:r>
      <w:r w:rsidRPr="00236FEE">
        <w:rPr>
          <w:rFonts w:ascii="Simplified Arabic" w:hAnsi="Simplified Arabic" w:cs="Simplified Arabic"/>
          <w:sz w:val="24"/>
          <w:szCs w:val="24"/>
          <w:lang w:bidi="ar-IQ"/>
        </w:rPr>
        <w:t>10</w:t>
      </w:r>
      <w:r w:rsidRPr="00236FEE">
        <w:rPr>
          <w:rFonts w:ascii="Simplified Arabic" w:hAnsi="Simplified Arabic" w:cs="Simplified Arabic"/>
          <w:sz w:val="24"/>
          <w:szCs w:val="24"/>
          <w:rtl/>
        </w:rPr>
        <w:t>آلاف) قبل عام 2006، إلى (3500) عام 2011 حسب إحصاءات نقابة الصيادين</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rPr>
        <w:footnoteReference w:id="23"/>
      </w:r>
      <w:r w:rsidRPr="00236FEE">
        <w:rPr>
          <w:rFonts w:ascii="Simplified Arabic" w:hAnsi="Simplified Arabic" w:cs="Simplified Arabic"/>
          <w:sz w:val="24"/>
          <w:szCs w:val="24"/>
          <w:vertAlign w:val="superscript"/>
          <w:rtl/>
        </w:rPr>
        <w:t>)</w:t>
      </w:r>
      <w:r w:rsidRPr="00236FEE">
        <w:rPr>
          <w:rFonts w:ascii="Simplified Arabic" w:hAnsi="Simplified Arabic" w:cs="Simplified Arabic"/>
          <w:sz w:val="24"/>
          <w:szCs w:val="24"/>
          <w:rtl/>
        </w:rPr>
        <w:t>.</w:t>
      </w:r>
    </w:p>
    <w:p w:rsidR="001B28C7" w:rsidRPr="00236FEE" w:rsidRDefault="001B28C7" w:rsidP="00624491">
      <w:pPr>
        <w:spacing w:after="12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t xml:space="preserve">يتحمل الاقتصاد الفلسطيني خسائر جسيمة نتيجة فرض هذه المناطق العازلة، حيث يُقدّر عدد الأشخاص المتضررين من هذه المناطق العازلة حوالي (178000) شخص، أي ما يقارب (12%) من مجمل سكان قطاع غزة، وقُدّرت الخسائر في الممتلكات التي تم تدميرها في نطاق المناطق العازلة حوالي (308) مليون دولار أمريكي، كما قدّرت الخسارة </w:t>
      </w:r>
      <w:r w:rsidRPr="00236FEE">
        <w:rPr>
          <w:rFonts w:ascii="Simplified Arabic" w:hAnsi="Simplified Arabic" w:cs="Simplified Arabic"/>
          <w:sz w:val="24"/>
          <w:szCs w:val="24"/>
          <w:rtl/>
        </w:rPr>
        <w:lastRenderedPageBreak/>
        <w:t>في الدخل بسبب المنطقة العازلة البرية حوالي (81.7) مليون دولار سنويّاً، بينما خسارة الدخل بسبب المنطقة العازلة البحريّة حوالي (26.5) مليون دولار سنوياً</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rPr>
        <w:footnoteReference w:id="24"/>
      </w:r>
      <w:r w:rsidRPr="00236FEE">
        <w:rPr>
          <w:rFonts w:ascii="Simplified Arabic" w:hAnsi="Simplified Arabic" w:cs="Simplified Arabic"/>
          <w:sz w:val="24"/>
          <w:szCs w:val="24"/>
          <w:vertAlign w:val="superscript"/>
          <w:rtl/>
        </w:rPr>
        <w:t>)</w:t>
      </w:r>
      <w:r w:rsidRPr="00236FEE">
        <w:rPr>
          <w:rFonts w:ascii="Simplified Arabic" w:hAnsi="Simplified Arabic" w:cs="Simplified Arabic"/>
          <w:sz w:val="24"/>
          <w:szCs w:val="24"/>
          <w:rtl/>
        </w:rPr>
        <w:t>، هذا فضلاً عن تضرر مرافق البنية التحتية في قطاع غزة بشكل كبير،  وخاصةً شبكات الصرف الصحي والكهرباء، الأمر الذي يؤثر سلباً على توفير الخدمات لجميع سكان قطاع غزة.</w:t>
      </w:r>
    </w:p>
    <w:p w:rsidR="001B28C7" w:rsidRPr="00055ACC" w:rsidRDefault="001B28C7" w:rsidP="00624491">
      <w:pPr>
        <w:spacing w:after="0" w:line="240" w:lineRule="auto"/>
        <w:ind w:firstLine="567"/>
        <w:jc w:val="lowKashida"/>
        <w:outlineLvl w:val="2"/>
        <w:rPr>
          <w:rFonts w:ascii="Times New Roman" w:eastAsia="Times New Roman" w:hAnsi="Times New Roman" w:cs="Mudir MT"/>
          <w:bCs/>
          <w:sz w:val="32"/>
          <w:szCs w:val="32"/>
          <w:rtl/>
          <w:lang w:val="x-none" w:eastAsia="x-none"/>
        </w:rPr>
      </w:pPr>
      <w:r w:rsidRPr="00055ACC">
        <w:rPr>
          <w:rFonts w:ascii="Times New Roman" w:eastAsia="Times New Roman" w:hAnsi="Times New Roman" w:cs="Mudir MT"/>
          <w:bCs/>
          <w:sz w:val="32"/>
          <w:szCs w:val="32"/>
          <w:rtl/>
          <w:lang w:val="x-none" w:eastAsia="x-none"/>
        </w:rPr>
        <w:t>ثالثاً: الاعتماد الكبير على المساعدات الدولية:</w:t>
      </w:r>
    </w:p>
    <w:p w:rsidR="001B28C7" w:rsidRPr="00236FEE" w:rsidRDefault="001B28C7" w:rsidP="00624491">
      <w:pPr>
        <w:spacing w:after="12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t>تعتمد الحكومة الفلسطينية بنسبة عالية على تنفيذ سياساتها الاجتماعية والاقتصادية وبرامجها ومشاريعها على التمويل المساعدات الدولية, وهو يشكل تهديداً للأمن القومي الفلسطيني, وتحدياً أمام عملية رسم السياسات الاجتماعية والاقتصادية وتنفيذها, لعدم انتظام تلك المساعدات وارتباطها بأجندات سياسية تختلف أو تتعارض مع الاحتياجات والسياسات والأولويات الوطنية, بالإضافة إلى أن</w:t>
      </w:r>
      <w:r w:rsidRPr="00236FEE">
        <w:rPr>
          <w:rFonts w:ascii="Simplified Arabic" w:hAnsi="Simplified Arabic" w:cs="Simplified Arabic"/>
          <w:sz w:val="24"/>
          <w:szCs w:val="24"/>
          <w:rtl/>
          <w:lang w:bidi="ar-IQ"/>
        </w:rPr>
        <w:t>ّ</w:t>
      </w:r>
      <w:r w:rsidRPr="00236FEE">
        <w:rPr>
          <w:rFonts w:ascii="Simplified Arabic" w:hAnsi="Simplified Arabic" w:cs="Simplified Arabic"/>
          <w:sz w:val="24"/>
          <w:szCs w:val="24"/>
          <w:rtl/>
        </w:rPr>
        <w:t xml:space="preserve"> ضعف علاقة الدولة أو غيابها مع مؤسسات المجتمع المدني فيما يتعلق بإدارة وتنسيق المساعدات الدولية، جعل من عملية اختيار المشاريع وتوجيه التمويل أحياناً خاضعاً لمزاجية الجهة الممولة أو الشريك من مؤسّسات المجتمع المدني والمؤسّسات الدولية على أرض الواقع, بعيداً عن الالتزام بأجندة السياسات الوطنية المقرة في الخطط التنموية الفلسطينية</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rPr>
        <w:footnoteReference w:id="25"/>
      </w:r>
      <w:r w:rsidRPr="00236FEE">
        <w:rPr>
          <w:rFonts w:ascii="Simplified Arabic" w:hAnsi="Simplified Arabic" w:cs="Simplified Arabic"/>
          <w:sz w:val="24"/>
          <w:szCs w:val="24"/>
          <w:vertAlign w:val="superscript"/>
          <w:rtl/>
        </w:rPr>
        <w:t>)</w:t>
      </w:r>
      <w:r w:rsidRPr="00236FEE">
        <w:rPr>
          <w:rFonts w:ascii="Simplified Arabic" w:hAnsi="Simplified Arabic" w:cs="Simplified Arabic"/>
          <w:sz w:val="24"/>
          <w:szCs w:val="24"/>
          <w:rtl/>
        </w:rPr>
        <w:t xml:space="preserve"> .</w:t>
      </w:r>
    </w:p>
    <w:p w:rsidR="001B28C7" w:rsidRPr="00236FEE" w:rsidRDefault="001B28C7" w:rsidP="00624491">
      <w:pPr>
        <w:spacing w:after="12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t xml:space="preserve">وتتضاعف تهديدات الأمن القومي الفلسطيني, نتيجة الاعتماد المتزايد على المساعدات الدولية، في ظل غياب نظام وطني </w:t>
      </w:r>
      <w:proofErr w:type="spellStart"/>
      <w:r w:rsidRPr="00236FEE">
        <w:rPr>
          <w:rFonts w:ascii="Simplified Arabic" w:hAnsi="Simplified Arabic" w:cs="Simplified Arabic"/>
          <w:sz w:val="24"/>
          <w:szCs w:val="24"/>
          <w:rtl/>
        </w:rPr>
        <w:t>ممأسس</w:t>
      </w:r>
      <w:proofErr w:type="spellEnd"/>
      <w:r w:rsidRPr="00236FEE">
        <w:rPr>
          <w:rFonts w:ascii="Simplified Arabic" w:hAnsi="Simplified Arabic" w:cs="Simplified Arabic"/>
          <w:sz w:val="24"/>
          <w:szCs w:val="24"/>
          <w:rtl/>
        </w:rPr>
        <w:t xml:space="preserve"> لعملية إنتاج السياسات والخطط والأولويات الوطنية ورسمها، يقود إلى وجود أدوات عملية لاختيار المشاريع وإدارة تنفيذها من قبل الحكومة, كذلك الأمر بالنسبة للمشاريع التي يتم تنفيذها من خلال مؤسسات المجتمع المدني, والتي تتميز بكبر حجمها في المجتمع الفلسطيني, باعتبارها موجودة في المجتمع الفلسطيني قبل قيام مؤسسات السلطة, وتقوم بدور أساسي في عملية تقديم المؤسسات المساعدات الإغاثية والتنموية, وبالتالي فإن ضعف التكامل في العمل بين الحكومة </w:t>
      </w:r>
      <w:r w:rsidRPr="00236FEE">
        <w:rPr>
          <w:rFonts w:ascii="Simplified Arabic" w:hAnsi="Simplified Arabic" w:cs="Simplified Arabic"/>
          <w:sz w:val="24"/>
          <w:szCs w:val="24"/>
          <w:rtl/>
        </w:rPr>
        <w:lastRenderedPageBreak/>
        <w:t>ومؤسسات المجتمع المدني والمؤسسات الدولية يعيق الجهود ويشتتها, ويضعف الاستثمار الأمثل للموارد, ويقوض من سياسات الشمول من خلال البرامج والمشاريع التنموية المنفذة</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rPr>
        <w:footnoteReference w:id="26"/>
      </w:r>
      <w:r w:rsidRPr="00236FEE">
        <w:rPr>
          <w:rFonts w:ascii="Simplified Arabic" w:hAnsi="Simplified Arabic" w:cs="Simplified Arabic"/>
          <w:sz w:val="24"/>
          <w:szCs w:val="24"/>
          <w:vertAlign w:val="superscript"/>
          <w:rtl/>
        </w:rPr>
        <w:t>)</w:t>
      </w:r>
      <w:r w:rsidRPr="00236FEE">
        <w:rPr>
          <w:rFonts w:ascii="Simplified Arabic" w:hAnsi="Simplified Arabic" w:cs="Simplified Arabic"/>
          <w:sz w:val="24"/>
          <w:szCs w:val="24"/>
          <w:rtl/>
        </w:rPr>
        <w:t>.</w:t>
      </w:r>
    </w:p>
    <w:p w:rsidR="001B28C7" w:rsidRPr="00236FEE" w:rsidRDefault="001B28C7" w:rsidP="00624491">
      <w:pPr>
        <w:spacing w:after="12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t>وللوقوف على طبيعة التهديدات الاقتصادية للأمن القومي الفلسطيني الناتجة عن الاعتماد الكبير على المساعدات الدولية, لا بد لنا من استعراض حجم المساعدات الدولية المقدمة للسلطة الفلسطينية وتقيمها.</w:t>
      </w:r>
    </w:p>
    <w:p w:rsidR="001B28C7" w:rsidRPr="00055ACC" w:rsidRDefault="001B28C7" w:rsidP="00624491">
      <w:pPr>
        <w:pStyle w:val="a7"/>
        <w:numPr>
          <w:ilvl w:val="0"/>
          <w:numId w:val="38"/>
        </w:numPr>
        <w:spacing w:after="0" w:line="240" w:lineRule="auto"/>
        <w:ind w:left="0" w:firstLine="567"/>
        <w:jc w:val="lowKashida"/>
        <w:rPr>
          <w:rFonts w:ascii="Simplified Arabic" w:hAnsi="Simplified Arabic" w:cs="Simplified Arabic"/>
          <w:sz w:val="28"/>
          <w:szCs w:val="28"/>
        </w:rPr>
      </w:pPr>
      <w:r w:rsidRPr="00055ACC">
        <w:rPr>
          <w:rFonts w:ascii="Simplified Arabic" w:hAnsi="Simplified Arabic" w:cs="Simplified Arabic"/>
          <w:b/>
          <w:bCs/>
          <w:sz w:val="28"/>
          <w:szCs w:val="28"/>
          <w:rtl/>
        </w:rPr>
        <w:t>تطوّر المساعدات الدولية المقدمة إلى السلطة الوطنية الفلسطينية:</w:t>
      </w:r>
    </w:p>
    <w:p w:rsidR="001B28C7" w:rsidRPr="00236FEE" w:rsidRDefault="001B28C7" w:rsidP="00624491">
      <w:pPr>
        <w:spacing w:after="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t xml:space="preserve">في أعقاب اتفاقية أوسلو الموقعة بين منظمة التحرير الفلسطينية والحكومة الإسرائيلية في أيلول من عام </w:t>
      </w:r>
      <w:r w:rsidRPr="00236FEE">
        <w:rPr>
          <w:rFonts w:ascii="Simplified Arabic" w:hAnsi="Simplified Arabic" w:cs="Simplified Arabic"/>
          <w:sz w:val="24"/>
          <w:szCs w:val="24"/>
        </w:rPr>
        <w:t>1993</w:t>
      </w:r>
      <w:r w:rsidRPr="00236FEE">
        <w:rPr>
          <w:rFonts w:ascii="Simplified Arabic" w:hAnsi="Simplified Arabic" w:cs="Simplified Arabic"/>
          <w:sz w:val="24"/>
          <w:szCs w:val="24"/>
          <w:rtl/>
        </w:rPr>
        <w:t xml:space="preserve">, عقدت الدول المانحة في أكتوبر من العام نفسه مؤتمراً شاركت فيه </w:t>
      </w:r>
      <w:r w:rsidRPr="00236FEE">
        <w:rPr>
          <w:rFonts w:ascii="Simplified Arabic" w:hAnsi="Simplified Arabic" w:cs="Simplified Arabic"/>
          <w:sz w:val="24"/>
          <w:szCs w:val="24"/>
        </w:rPr>
        <w:t>42</w:t>
      </w:r>
      <w:r w:rsidRPr="00236FEE">
        <w:rPr>
          <w:rFonts w:ascii="Simplified Arabic" w:hAnsi="Simplified Arabic" w:cs="Simplified Arabic"/>
          <w:sz w:val="24"/>
          <w:szCs w:val="24"/>
          <w:rtl/>
        </w:rPr>
        <w:t xml:space="preserve"> دولة, بهدف حشد المساعدات للسلطة الفلسطينية التي تقرر تأسيسها في إطار ذلك الاتفاق, ولإيجاد إدارة موحدة لتنسيق المساعدات المالية والفنية لتلك السلطة.</w:t>
      </w:r>
    </w:p>
    <w:p w:rsidR="001B28C7" w:rsidRPr="00236FEE" w:rsidRDefault="001B28C7" w:rsidP="00624491">
      <w:pPr>
        <w:spacing w:after="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t xml:space="preserve">وفي العام </w:t>
      </w:r>
      <w:r w:rsidRPr="00236FEE">
        <w:rPr>
          <w:rFonts w:ascii="Simplified Arabic" w:hAnsi="Simplified Arabic" w:cs="Simplified Arabic"/>
          <w:sz w:val="24"/>
          <w:szCs w:val="24"/>
        </w:rPr>
        <w:t>1997</w:t>
      </w:r>
      <w:r w:rsidRPr="00236FEE">
        <w:rPr>
          <w:rFonts w:ascii="Simplified Arabic" w:hAnsi="Simplified Arabic" w:cs="Simplified Arabic"/>
          <w:sz w:val="24"/>
          <w:szCs w:val="24"/>
          <w:rtl/>
        </w:rPr>
        <w:t xml:space="preserve"> وقعت السلطة الفلسطينية اتفاقية تعاون وتجارة مع الاتحاد الأوروبي, وكان الهدف المفترض من هذه المساعدات والعلاقات التجارية هو تمكين السلطة الوليدة في إدارة المناطق الفلسطينية وتنفيذ مشاريع إعادة تأهيل البنية التحتية وإقامة المرافق والمؤسسات العامة وتقوية القطاع الخاص وتعزيز فرص النمو الاقتصادي سعياً منها للوصول إلى حالة تنموية شاملة ومستدامة</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rPr>
        <w:footnoteReference w:id="27"/>
      </w:r>
      <w:r w:rsidRPr="00236FEE">
        <w:rPr>
          <w:rFonts w:ascii="Simplified Arabic" w:hAnsi="Simplified Arabic" w:cs="Simplified Arabic"/>
          <w:sz w:val="24"/>
          <w:szCs w:val="24"/>
          <w:vertAlign w:val="superscript"/>
          <w:rtl/>
        </w:rPr>
        <w:t>)</w:t>
      </w:r>
      <w:r w:rsidRPr="00236FEE">
        <w:rPr>
          <w:rFonts w:ascii="Simplified Arabic" w:hAnsi="Simplified Arabic" w:cs="Simplified Arabic"/>
          <w:sz w:val="24"/>
          <w:szCs w:val="24"/>
          <w:rtl/>
        </w:rPr>
        <w:t>.</w:t>
      </w:r>
    </w:p>
    <w:p w:rsidR="001B28C7" w:rsidRPr="00236FEE" w:rsidRDefault="001B28C7" w:rsidP="00624491">
      <w:pPr>
        <w:spacing w:after="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t xml:space="preserve">إلّا أنّ الاحتلال الإسرائيلي واصل سياساته الهادفة إلى تدمير وخنق الاقتصاد الفلسطيني من خلال الحصار المستمر والاعتداءات العسكرية المتكررة والتدمير </w:t>
      </w:r>
      <w:proofErr w:type="spellStart"/>
      <w:r w:rsidRPr="00236FEE">
        <w:rPr>
          <w:rFonts w:ascii="Simplified Arabic" w:hAnsi="Simplified Arabic" w:cs="Simplified Arabic"/>
          <w:sz w:val="24"/>
          <w:szCs w:val="24"/>
          <w:rtl/>
        </w:rPr>
        <w:t>الممنهج</w:t>
      </w:r>
      <w:proofErr w:type="spellEnd"/>
      <w:r w:rsidRPr="00236FEE">
        <w:rPr>
          <w:rFonts w:ascii="Simplified Arabic" w:hAnsi="Simplified Arabic" w:cs="Simplified Arabic"/>
          <w:sz w:val="24"/>
          <w:szCs w:val="24"/>
          <w:rtl/>
        </w:rPr>
        <w:t xml:space="preserve"> لكافة أسباب الحياة, مما جعل الشعب الفلسطيني يعيش حالة مأساوية يعجز أغنى شعوب العالم عن تحمل آثارها المدمرة, الأمر الذي جعل العالم بأسره يدرك أنّ معظم ما يعانيه الفلسطينيون من الحرمان والفقر مرتبط بشكل أو بآخر بالاحتلال الإسرائيلي والسياسات الإسرائيلية القائمة على إفقار الشعب الفلسطيني بالسيطرة على مقدراته وتعميق حالة التبعية الاقتصادية للاقتصاد الإسرائيلي.</w:t>
      </w:r>
    </w:p>
    <w:p w:rsidR="001B28C7" w:rsidRPr="00236FEE" w:rsidRDefault="001B28C7" w:rsidP="00624491">
      <w:pPr>
        <w:spacing w:after="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lastRenderedPageBreak/>
        <w:t>وقد أدّت هذه الانتهاكات إلى تدفق المساعدات الدولية إلى الشعب الفلسطيني, ولكن كانت هذه المساعدات تتدفق بقنوات مختلفة ولأوجه إنفاق متنوعة وبشروط عديدة وبوتائر غير منتظمة, ويوضح الجدول رقم (</w:t>
      </w:r>
      <w:r w:rsidRPr="00236FEE">
        <w:rPr>
          <w:rFonts w:ascii="Simplified Arabic" w:hAnsi="Simplified Arabic" w:cs="Simplified Arabic"/>
          <w:sz w:val="24"/>
          <w:szCs w:val="24"/>
        </w:rPr>
        <w:t>1</w:t>
      </w:r>
      <w:r w:rsidRPr="00236FEE">
        <w:rPr>
          <w:rFonts w:ascii="Simplified Arabic" w:hAnsi="Simplified Arabic" w:cs="Simplified Arabic"/>
          <w:sz w:val="24"/>
          <w:szCs w:val="24"/>
          <w:rtl/>
        </w:rPr>
        <w:t>) حجم المساعدات الدولية التي قدمت للسلطة الفلسطينية خلال الفترة (</w:t>
      </w:r>
      <w:r w:rsidRPr="00236FEE">
        <w:rPr>
          <w:rFonts w:ascii="Simplified Arabic" w:hAnsi="Simplified Arabic" w:cs="Simplified Arabic"/>
          <w:sz w:val="24"/>
          <w:szCs w:val="24"/>
        </w:rPr>
        <w:t>2014-1995</w:t>
      </w:r>
      <w:r w:rsidRPr="00236FEE">
        <w:rPr>
          <w:rFonts w:ascii="Simplified Arabic" w:hAnsi="Simplified Arabic" w:cs="Simplified Arabic"/>
          <w:sz w:val="24"/>
          <w:szCs w:val="24"/>
          <w:rtl/>
        </w:rPr>
        <w:t>).</w:t>
      </w:r>
    </w:p>
    <w:p w:rsidR="001B28C7" w:rsidRPr="00055ACC" w:rsidRDefault="001B28C7" w:rsidP="001668ED">
      <w:pPr>
        <w:spacing w:after="0" w:line="240" w:lineRule="auto"/>
        <w:ind w:firstLine="567"/>
        <w:jc w:val="center"/>
        <w:rPr>
          <w:rFonts w:ascii="Simplified Arabic" w:hAnsi="Simplified Arabic" w:cs="Simplified Arabic"/>
          <w:sz w:val="28"/>
          <w:szCs w:val="28"/>
          <w:rtl/>
        </w:rPr>
      </w:pPr>
      <w:r w:rsidRPr="00055ACC">
        <w:rPr>
          <w:rFonts w:ascii="Simplified Arabic" w:hAnsi="Simplified Arabic" w:cs="Simplified Arabic"/>
          <w:b/>
          <w:bCs/>
          <w:sz w:val="28"/>
          <w:szCs w:val="28"/>
          <w:rtl/>
        </w:rPr>
        <w:t>جدول رقم (</w:t>
      </w:r>
      <w:r w:rsidRPr="00055ACC">
        <w:rPr>
          <w:rFonts w:ascii="Simplified Arabic" w:hAnsi="Simplified Arabic" w:cs="Simplified Arabic"/>
          <w:b/>
          <w:bCs/>
          <w:sz w:val="28"/>
          <w:szCs w:val="28"/>
        </w:rPr>
        <w:t>1</w:t>
      </w:r>
      <w:r w:rsidRPr="00055ACC">
        <w:rPr>
          <w:rFonts w:ascii="Simplified Arabic" w:hAnsi="Simplified Arabic" w:cs="Simplified Arabic"/>
          <w:b/>
          <w:bCs/>
          <w:sz w:val="28"/>
          <w:szCs w:val="28"/>
          <w:rtl/>
        </w:rPr>
        <w:t>): المساعدات الدولية المقدمة للسلطة الوطنية الفلسطينية للفترة (</w:t>
      </w:r>
      <w:r w:rsidRPr="00055ACC">
        <w:rPr>
          <w:rFonts w:ascii="Simplified Arabic" w:hAnsi="Simplified Arabic" w:cs="Simplified Arabic"/>
          <w:b/>
          <w:bCs/>
          <w:sz w:val="28"/>
          <w:szCs w:val="28"/>
        </w:rPr>
        <w:t>1995-2014</w:t>
      </w:r>
      <w:r w:rsidRPr="00055ACC">
        <w:rPr>
          <w:rFonts w:ascii="Simplified Arabic" w:hAnsi="Simplified Arabic" w:cs="Simplified Arabic"/>
          <w:b/>
          <w:bCs/>
          <w:sz w:val="28"/>
          <w:szCs w:val="28"/>
          <w:rtl/>
        </w:rPr>
        <w:t>) ( مليون $)</w:t>
      </w:r>
    </w:p>
    <w:tbl>
      <w:tblPr>
        <w:tblStyle w:val="a5"/>
        <w:bidiVisual/>
        <w:tblW w:w="0" w:type="auto"/>
        <w:tblInd w:w="4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276"/>
        <w:gridCol w:w="1559"/>
        <w:gridCol w:w="1559"/>
        <w:gridCol w:w="993"/>
        <w:gridCol w:w="1134"/>
      </w:tblGrid>
      <w:tr w:rsidR="000169EF" w:rsidRPr="000F7479" w:rsidTr="001668ED">
        <w:tc>
          <w:tcPr>
            <w:tcW w:w="1276" w:type="dxa"/>
          </w:tcPr>
          <w:p w:rsidR="001B28C7" w:rsidRPr="001668ED" w:rsidRDefault="001B28C7" w:rsidP="001668ED">
            <w:pPr>
              <w:tabs>
                <w:tab w:val="left" w:pos="511"/>
              </w:tabs>
              <w:ind w:firstLine="0"/>
              <w:jc w:val="center"/>
              <w:outlineLvl w:val="0"/>
              <w:rPr>
                <w:rFonts w:ascii="Simplified Arabic" w:hAnsi="Simplified Arabic" w:cs="Simplified Arabic"/>
                <w:b/>
                <w:bCs/>
                <w:rtl/>
              </w:rPr>
            </w:pPr>
            <w:r w:rsidRPr="001668ED">
              <w:rPr>
                <w:rFonts w:ascii="Simplified Arabic" w:hAnsi="Simplified Arabic" w:cs="Simplified Arabic"/>
                <w:b/>
                <w:bCs/>
                <w:rtl/>
              </w:rPr>
              <w:t>السنة</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tl/>
              </w:rPr>
            </w:pPr>
            <w:r w:rsidRPr="001668ED">
              <w:rPr>
                <w:rFonts w:ascii="Simplified Arabic" w:hAnsi="Simplified Arabic" w:cs="Simplified Arabic"/>
                <w:b/>
                <w:bCs/>
                <w:rtl/>
              </w:rPr>
              <w:t>منح لدعم الموازنة الجارية</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tl/>
              </w:rPr>
            </w:pPr>
            <w:r w:rsidRPr="001668ED">
              <w:rPr>
                <w:rFonts w:ascii="Simplified Arabic" w:hAnsi="Simplified Arabic" w:cs="Simplified Arabic"/>
                <w:b/>
                <w:bCs/>
                <w:rtl/>
              </w:rPr>
              <w:t>منح لدعم النفقات التطويرية</w:t>
            </w:r>
          </w:p>
        </w:tc>
        <w:tc>
          <w:tcPr>
            <w:tcW w:w="993" w:type="dxa"/>
          </w:tcPr>
          <w:p w:rsidR="001B28C7" w:rsidRPr="001668ED" w:rsidRDefault="001B28C7" w:rsidP="001668ED">
            <w:pPr>
              <w:tabs>
                <w:tab w:val="left" w:pos="511"/>
              </w:tabs>
              <w:ind w:firstLine="0"/>
              <w:jc w:val="center"/>
              <w:outlineLvl w:val="0"/>
              <w:rPr>
                <w:rFonts w:ascii="Simplified Arabic" w:hAnsi="Simplified Arabic" w:cs="Simplified Arabic"/>
                <w:b/>
                <w:bCs/>
                <w:rtl/>
              </w:rPr>
            </w:pPr>
            <w:r w:rsidRPr="001668ED">
              <w:rPr>
                <w:rFonts w:ascii="Simplified Arabic" w:hAnsi="Simplified Arabic" w:cs="Simplified Arabic"/>
                <w:b/>
                <w:bCs/>
                <w:rtl/>
              </w:rPr>
              <w:t>إجمالي المنح</w:t>
            </w:r>
          </w:p>
        </w:tc>
        <w:tc>
          <w:tcPr>
            <w:tcW w:w="1134" w:type="dxa"/>
          </w:tcPr>
          <w:p w:rsidR="001B28C7" w:rsidRPr="001668ED" w:rsidRDefault="001B28C7" w:rsidP="001668ED">
            <w:pPr>
              <w:tabs>
                <w:tab w:val="left" w:pos="511"/>
              </w:tabs>
              <w:ind w:firstLine="0"/>
              <w:jc w:val="center"/>
              <w:outlineLvl w:val="0"/>
              <w:rPr>
                <w:rFonts w:ascii="Simplified Arabic" w:hAnsi="Simplified Arabic" w:cs="Simplified Arabic"/>
                <w:b/>
                <w:bCs/>
                <w:rtl/>
              </w:rPr>
            </w:pPr>
            <w:r w:rsidRPr="001668ED">
              <w:rPr>
                <w:rFonts w:ascii="Simplified Arabic" w:hAnsi="Simplified Arabic" w:cs="Simplified Arabic"/>
                <w:b/>
                <w:bCs/>
                <w:rtl/>
              </w:rPr>
              <w:t>معدل نمو المنح (%)</w:t>
            </w:r>
          </w:p>
        </w:tc>
      </w:tr>
      <w:tr w:rsidR="000169EF" w:rsidRPr="00236FEE" w:rsidTr="001668ED">
        <w:tc>
          <w:tcPr>
            <w:tcW w:w="1276"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1995</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135</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190</w:t>
            </w:r>
          </w:p>
        </w:tc>
        <w:tc>
          <w:tcPr>
            <w:tcW w:w="993"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325</w:t>
            </w:r>
          </w:p>
        </w:tc>
        <w:tc>
          <w:tcPr>
            <w:tcW w:w="1134"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tl/>
              </w:rPr>
              <w:t>-</w:t>
            </w:r>
          </w:p>
        </w:tc>
      </w:tr>
      <w:tr w:rsidR="000169EF" w:rsidRPr="00236FEE" w:rsidTr="001668ED">
        <w:tc>
          <w:tcPr>
            <w:tcW w:w="1276"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1996</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84</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160</w:t>
            </w:r>
          </w:p>
        </w:tc>
        <w:tc>
          <w:tcPr>
            <w:tcW w:w="993"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244</w:t>
            </w:r>
          </w:p>
        </w:tc>
        <w:tc>
          <w:tcPr>
            <w:tcW w:w="1134" w:type="dxa"/>
          </w:tcPr>
          <w:p w:rsidR="001B28C7" w:rsidRPr="001668ED" w:rsidRDefault="001B28C7" w:rsidP="001668ED">
            <w:pPr>
              <w:tabs>
                <w:tab w:val="left" w:pos="511"/>
              </w:tabs>
              <w:ind w:firstLine="0"/>
              <w:jc w:val="center"/>
              <w:outlineLvl w:val="0"/>
              <w:rPr>
                <w:rFonts w:ascii="Simplified Arabic" w:hAnsi="Simplified Arabic" w:cs="Simplified Arabic"/>
                <w:b/>
                <w:bCs/>
                <w:rtl/>
              </w:rPr>
            </w:pPr>
            <w:r w:rsidRPr="001668ED">
              <w:rPr>
                <w:rFonts w:ascii="Simplified Arabic" w:hAnsi="Simplified Arabic" w:cs="Simplified Arabic"/>
                <w:b/>
                <w:bCs/>
              </w:rPr>
              <w:t>-24.9</w:t>
            </w:r>
          </w:p>
        </w:tc>
      </w:tr>
      <w:tr w:rsidR="000169EF" w:rsidRPr="00236FEE" w:rsidTr="001668ED">
        <w:tc>
          <w:tcPr>
            <w:tcW w:w="1276"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1997</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36</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345</w:t>
            </w:r>
          </w:p>
        </w:tc>
        <w:tc>
          <w:tcPr>
            <w:tcW w:w="993"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381</w:t>
            </w:r>
          </w:p>
        </w:tc>
        <w:tc>
          <w:tcPr>
            <w:tcW w:w="1134"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56.1</w:t>
            </w:r>
          </w:p>
        </w:tc>
      </w:tr>
      <w:tr w:rsidR="000169EF" w:rsidRPr="00236FEE" w:rsidTr="001668ED">
        <w:tc>
          <w:tcPr>
            <w:tcW w:w="1276"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1998</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0</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330</w:t>
            </w:r>
          </w:p>
        </w:tc>
        <w:tc>
          <w:tcPr>
            <w:tcW w:w="993"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330</w:t>
            </w:r>
          </w:p>
        </w:tc>
        <w:tc>
          <w:tcPr>
            <w:tcW w:w="1134"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tl/>
              </w:rPr>
              <w:t>-</w:t>
            </w:r>
            <w:r w:rsidRPr="001668ED">
              <w:rPr>
                <w:rFonts w:ascii="Simplified Arabic" w:hAnsi="Simplified Arabic" w:cs="Simplified Arabic"/>
                <w:b/>
                <w:bCs/>
              </w:rPr>
              <w:t>13.4</w:t>
            </w:r>
          </w:p>
        </w:tc>
      </w:tr>
      <w:tr w:rsidR="000169EF" w:rsidRPr="00236FEE" w:rsidTr="001668ED">
        <w:tc>
          <w:tcPr>
            <w:tcW w:w="1276"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1999</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0</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235</w:t>
            </w:r>
          </w:p>
        </w:tc>
        <w:tc>
          <w:tcPr>
            <w:tcW w:w="993"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497</w:t>
            </w:r>
          </w:p>
        </w:tc>
        <w:tc>
          <w:tcPr>
            <w:tcW w:w="1134"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50.6</w:t>
            </w:r>
          </w:p>
        </w:tc>
      </w:tr>
      <w:tr w:rsidR="000169EF" w:rsidRPr="00236FEE" w:rsidTr="001668ED">
        <w:tc>
          <w:tcPr>
            <w:tcW w:w="1276" w:type="dxa"/>
          </w:tcPr>
          <w:p w:rsidR="001B28C7" w:rsidRPr="001668ED" w:rsidRDefault="001B28C7" w:rsidP="001668ED">
            <w:pPr>
              <w:tabs>
                <w:tab w:val="left" w:pos="511"/>
              </w:tabs>
              <w:ind w:firstLine="0"/>
              <w:jc w:val="center"/>
              <w:outlineLvl w:val="0"/>
              <w:rPr>
                <w:rFonts w:ascii="Simplified Arabic" w:hAnsi="Simplified Arabic" w:cs="Simplified Arabic"/>
                <w:b/>
                <w:bCs/>
                <w:rtl/>
              </w:rPr>
            </w:pPr>
            <w:r w:rsidRPr="001668ED">
              <w:rPr>
                <w:rFonts w:ascii="Simplified Arabic" w:hAnsi="Simplified Arabic" w:cs="Simplified Arabic"/>
                <w:b/>
                <w:bCs/>
              </w:rPr>
              <w:t>2000</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54</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465</w:t>
            </w:r>
          </w:p>
        </w:tc>
        <w:tc>
          <w:tcPr>
            <w:tcW w:w="993"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510</w:t>
            </w:r>
          </w:p>
        </w:tc>
        <w:tc>
          <w:tcPr>
            <w:tcW w:w="1134"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2.6</w:t>
            </w:r>
          </w:p>
        </w:tc>
      </w:tr>
      <w:tr w:rsidR="000169EF" w:rsidRPr="00236FEE" w:rsidTr="001668ED">
        <w:tc>
          <w:tcPr>
            <w:tcW w:w="1276"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2001</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510</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318</w:t>
            </w:r>
          </w:p>
        </w:tc>
        <w:tc>
          <w:tcPr>
            <w:tcW w:w="993"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849</w:t>
            </w:r>
          </w:p>
        </w:tc>
        <w:tc>
          <w:tcPr>
            <w:tcW w:w="1134"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66.4</w:t>
            </w:r>
          </w:p>
        </w:tc>
      </w:tr>
      <w:tr w:rsidR="000169EF" w:rsidRPr="00236FEE" w:rsidTr="001668ED">
        <w:tc>
          <w:tcPr>
            <w:tcW w:w="1276"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2002</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468</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229</w:t>
            </w:r>
          </w:p>
        </w:tc>
        <w:tc>
          <w:tcPr>
            <w:tcW w:w="993"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697</w:t>
            </w:r>
          </w:p>
        </w:tc>
        <w:tc>
          <w:tcPr>
            <w:tcW w:w="1134"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-17.9</w:t>
            </w:r>
          </w:p>
        </w:tc>
      </w:tr>
      <w:tr w:rsidR="000169EF" w:rsidRPr="00236FEE" w:rsidTr="001668ED">
        <w:tc>
          <w:tcPr>
            <w:tcW w:w="1276"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2003</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261</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359</w:t>
            </w:r>
          </w:p>
        </w:tc>
        <w:tc>
          <w:tcPr>
            <w:tcW w:w="993"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620</w:t>
            </w:r>
          </w:p>
        </w:tc>
        <w:tc>
          <w:tcPr>
            <w:tcW w:w="1134"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tl/>
              </w:rPr>
              <w:t>-</w:t>
            </w:r>
            <w:r w:rsidRPr="001668ED">
              <w:rPr>
                <w:rFonts w:ascii="Simplified Arabic" w:hAnsi="Simplified Arabic" w:cs="Simplified Arabic"/>
                <w:b/>
                <w:bCs/>
              </w:rPr>
              <w:t>11.0</w:t>
            </w:r>
          </w:p>
        </w:tc>
      </w:tr>
      <w:tr w:rsidR="000169EF" w:rsidRPr="00236FEE" w:rsidTr="001668ED">
        <w:tc>
          <w:tcPr>
            <w:tcW w:w="1276"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2004</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353</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0</w:t>
            </w:r>
          </w:p>
        </w:tc>
        <w:tc>
          <w:tcPr>
            <w:tcW w:w="993"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353</w:t>
            </w:r>
          </w:p>
        </w:tc>
        <w:tc>
          <w:tcPr>
            <w:tcW w:w="1134"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43-</w:t>
            </w:r>
          </w:p>
        </w:tc>
      </w:tr>
      <w:tr w:rsidR="000169EF" w:rsidRPr="00236FEE" w:rsidTr="001668ED">
        <w:tc>
          <w:tcPr>
            <w:tcW w:w="1276"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2005</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349</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287</w:t>
            </w:r>
          </w:p>
        </w:tc>
        <w:tc>
          <w:tcPr>
            <w:tcW w:w="993"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636</w:t>
            </w:r>
          </w:p>
        </w:tc>
        <w:tc>
          <w:tcPr>
            <w:tcW w:w="1134"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80.1</w:t>
            </w:r>
          </w:p>
        </w:tc>
      </w:tr>
      <w:tr w:rsidR="000169EF" w:rsidRPr="00236FEE" w:rsidTr="001668ED">
        <w:tc>
          <w:tcPr>
            <w:tcW w:w="1276"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2006</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738</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281</w:t>
            </w:r>
          </w:p>
        </w:tc>
        <w:tc>
          <w:tcPr>
            <w:tcW w:w="993"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1019</w:t>
            </w:r>
          </w:p>
        </w:tc>
        <w:tc>
          <w:tcPr>
            <w:tcW w:w="1134"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60.2</w:t>
            </w:r>
          </w:p>
        </w:tc>
      </w:tr>
      <w:tr w:rsidR="000169EF" w:rsidRPr="00236FEE" w:rsidTr="001668ED">
        <w:tc>
          <w:tcPr>
            <w:tcW w:w="1276"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2007</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1012</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310</w:t>
            </w:r>
          </w:p>
        </w:tc>
        <w:tc>
          <w:tcPr>
            <w:tcW w:w="993"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1322</w:t>
            </w:r>
          </w:p>
        </w:tc>
        <w:tc>
          <w:tcPr>
            <w:tcW w:w="1134"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2.29</w:t>
            </w:r>
          </w:p>
        </w:tc>
      </w:tr>
      <w:tr w:rsidR="000169EF" w:rsidRPr="00236FEE" w:rsidTr="001668ED">
        <w:tc>
          <w:tcPr>
            <w:tcW w:w="1276"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2008</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1763</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215</w:t>
            </w:r>
          </w:p>
        </w:tc>
        <w:tc>
          <w:tcPr>
            <w:tcW w:w="993"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1953</w:t>
            </w:r>
          </w:p>
        </w:tc>
        <w:tc>
          <w:tcPr>
            <w:tcW w:w="1134"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47.7</w:t>
            </w:r>
          </w:p>
        </w:tc>
      </w:tr>
      <w:tr w:rsidR="000169EF" w:rsidRPr="00236FEE" w:rsidTr="001668ED">
        <w:tc>
          <w:tcPr>
            <w:tcW w:w="1276"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2009</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1355</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47</w:t>
            </w:r>
          </w:p>
        </w:tc>
        <w:tc>
          <w:tcPr>
            <w:tcW w:w="993"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1413</w:t>
            </w:r>
          </w:p>
        </w:tc>
        <w:tc>
          <w:tcPr>
            <w:tcW w:w="1134"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27.6 -</w:t>
            </w:r>
          </w:p>
        </w:tc>
      </w:tr>
      <w:tr w:rsidR="000169EF" w:rsidRPr="00236FEE" w:rsidTr="001668ED">
        <w:tc>
          <w:tcPr>
            <w:tcW w:w="1276"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2010</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1146</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tl/>
              </w:rPr>
            </w:pPr>
            <w:r w:rsidRPr="001668ED">
              <w:rPr>
                <w:rFonts w:ascii="Simplified Arabic" w:hAnsi="Simplified Arabic" w:cs="Simplified Arabic"/>
                <w:b/>
                <w:bCs/>
              </w:rPr>
              <w:t>130</w:t>
            </w:r>
          </w:p>
        </w:tc>
        <w:tc>
          <w:tcPr>
            <w:tcW w:w="993"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1277</w:t>
            </w:r>
          </w:p>
        </w:tc>
        <w:tc>
          <w:tcPr>
            <w:tcW w:w="1134"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9.6-</w:t>
            </w:r>
          </w:p>
        </w:tc>
      </w:tr>
      <w:tr w:rsidR="000169EF" w:rsidRPr="00236FEE" w:rsidTr="001668ED">
        <w:tc>
          <w:tcPr>
            <w:tcW w:w="1276"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2011</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814</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169</w:t>
            </w:r>
          </w:p>
        </w:tc>
        <w:tc>
          <w:tcPr>
            <w:tcW w:w="993"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983</w:t>
            </w:r>
          </w:p>
        </w:tc>
        <w:tc>
          <w:tcPr>
            <w:tcW w:w="1134"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23-</w:t>
            </w:r>
          </w:p>
        </w:tc>
      </w:tr>
      <w:tr w:rsidR="000169EF" w:rsidRPr="00236FEE" w:rsidTr="001668ED">
        <w:tc>
          <w:tcPr>
            <w:tcW w:w="1276"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2012</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776</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156</w:t>
            </w:r>
          </w:p>
        </w:tc>
        <w:tc>
          <w:tcPr>
            <w:tcW w:w="993"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932</w:t>
            </w:r>
          </w:p>
        </w:tc>
        <w:tc>
          <w:tcPr>
            <w:tcW w:w="1134"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5.1-</w:t>
            </w:r>
          </w:p>
        </w:tc>
      </w:tr>
      <w:tr w:rsidR="000169EF" w:rsidRPr="00236FEE" w:rsidTr="001668ED">
        <w:tc>
          <w:tcPr>
            <w:tcW w:w="1276"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2013</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1251</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107</w:t>
            </w:r>
          </w:p>
        </w:tc>
        <w:tc>
          <w:tcPr>
            <w:tcW w:w="993" w:type="dxa"/>
          </w:tcPr>
          <w:p w:rsidR="001B28C7" w:rsidRPr="001668ED" w:rsidRDefault="001B28C7" w:rsidP="001668ED">
            <w:pPr>
              <w:tabs>
                <w:tab w:val="left" w:pos="511"/>
              </w:tabs>
              <w:ind w:firstLine="0"/>
              <w:jc w:val="center"/>
              <w:outlineLvl w:val="0"/>
              <w:rPr>
                <w:rFonts w:ascii="Simplified Arabic" w:hAnsi="Simplified Arabic" w:cs="Simplified Arabic"/>
                <w:b/>
                <w:bCs/>
                <w:rtl/>
              </w:rPr>
            </w:pPr>
            <w:r w:rsidRPr="001668ED">
              <w:rPr>
                <w:rFonts w:ascii="Simplified Arabic" w:hAnsi="Simplified Arabic" w:cs="Simplified Arabic"/>
                <w:b/>
                <w:bCs/>
              </w:rPr>
              <w:t>1358</w:t>
            </w:r>
          </w:p>
        </w:tc>
        <w:tc>
          <w:tcPr>
            <w:tcW w:w="1134" w:type="dxa"/>
          </w:tcPr>
          <w:p w:rsidR="001B28C7" w:rsidRPr="001668ED" w:rsidRDefault="001B28C7" w:rsidP="001668ED">
            <w:pPr>
              <w:tabs>
                <w:tab w:val="left" w:pos="511"/>
              </w:tabs>
              <w:ind w:firstLine="0"/>
              <w:jc w:val="center"/>
              <w:outlineLvl w:val="0"/>
              <w:rPr>
                <w:rFonts w:ascii="Simplified Arabic" w:hAnsi="Simplified Arabic" w:cs="Simplified Arabic"/>
                <w:b/>
                <w:bCs/>
                <w:rtl/>
              </w:rPr>
            </w:pPr>
            <w:r w:rsidRPr="001668ED">
              <w:rPr>
                <w:rFonts w:ascii="Simplified Arabic" w:hAnsi="Simplified Arabic" w:cs="Simplified Arabic"/>
                <w:b/>
                <w:bCs/>
              </w:rPr>
              <w:t>45.7</w:t>
            </w:r>
          </w:p>
        </w:tc>
      </w:tr>
      <w:tr w:rsidR="000169EF" w:rsidRPr="00236FEE" w:rsidTr="001668ED">
        <w:tc>
          <w:tcPr>
            <w:tcW w:w="1276" w:type="dxa"/>
          </w:tcPr>
          <w:p w:rsidR="001B28C7" w:rsidRPr="001668ED" w:rsidRDefault="001B28C7" w:rsidP="001668ED">
            <w:pPr>
              <w:tabs>
                <w:tab w:val="left" w:pos="511"/>
              </w:tabs>
              <w:ind w:firstLine="0"/>
              <w:jc w:val="center"/>
              <w:outlineLvl w:val="0"/>
              <w:rPr>
                <w:rFonts w:ascii="Simplified Arabic" w:hAnsi="Simplified Arabic" w:cs="Simplified Arabic"/>
                <w:b/>
                <w:bCs/>
                <w:rtl/>
              </w:rPr>
            </w:pPr>
            <w:r w:rsidRPr="001668ED">
              <w:rPr>
                <w:rFonts w:ascii="Simplified Arabic" w:hAnsi="Simplified Arabic" w:cs="Simplified Arabic"/>
                <w:b/>
                <w:bCs/>
              </w:rPr>
              <w:t>2014</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1029.4</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201.0</w:t>
            </w:r>
          </w:p>
        </w:tc>
        <w:tc>
          <w:tcPr>
            <w:tcW w:w="993"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1230.4</w:t>
            </w:r>
          </w:p>
        </w:tc>
        <w:tc>
          <w:tcPr>
            <w:tcW w:w="1134"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-9.4</w:t>
            </w:r>
          </w:p>
        </w:tc>
      </w:tr>
      <w:tr w:rsidR="000169EF" w:rsidRPr="00236FEE" w:rsidTr="001668ED">
        <w:tc>
          <w:tcPr>
            <w:tcW w:w="1276"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tl/>
              </w:rPr>
              <w:t>الإجمالي</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12134.4</w:t>
            </w:r>
          </w:p>
        </w:tc>
        <w:tc>
          <w:tcPr>
            <w:tcW w:w="1559"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4534</w:t>
            </w:r>
          </w:p>
        </w:tc>
        <w:tc>
          <w:tcPr>
            <w:tcW w:w="993"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16668.4</w:t>
            </w:r>
          </w:p>
        </w:tc>
        <w:tc>
          <w:tcPr>
            <w:tcW w:w="1134" w:type="dxa"/>
          </w:tcPr>
          <w:p w:rsidR="001B28C7" w:rsidRPr="001668ED" w:rsidRDefault="001B28C7" w:rsidP="001668ED">
            <w:pPr>
              <w:tabs>
                <w:tab w:val="left" w:pos="511"/>
              </w:tabs>
              <w:ind w:firstLine="0"/>
              <w:jc w:val="center"/>
              <w:outlineLvl w:val="0"/>
              <w:rPr>
                <w:rFonts w:ascii="Simplified Arabic" w:hAnsi="Simplified Arabic" w:cs="Simplified Arabic"/>
                <w:b/>
                <w:bCs/>
              </w:rPr>
            </w:pPr>
            <w:r w:rsidRPr="001668ED">
              <w:rPr>
                <w:rFonts w:ascii="Simplified Arabic" w:hAnsi="Simplified Arabic" w:cs="Simplified Arabic"/>
                <w:b/>
                <w:bCs/>
              </w:rPr>
              <w:t>223.8</w:t>
            </w:r>
          </w:p>
        </w:tc>
      </w:tr>
    </w:tbl>
    <w:p w:rsidR="001B28C7" w:rsidRPr="000169EF" w:rsidRDefault="001B28C7" w:rsidP="00624491">
      <w:pPr>
        <w:spacing w:after="120" w:line="240" w:lineRule="auto"/>
        <w:ind w:firstLine="567"/>
        <w:jc w:val="lowKashida"/>
        <w:rPr>
          <w:rFonts w:ascii="Simplified Arabic" w:hAnsi="Simplified Arabic" w:cs="Simplified Arabic"/>
          <w:b/>
          <w:bCs/>
          <w:sz w:val="20"/>
          <w:szCs w:val="20"/>
          <w:rtl/>
        </w:rPr>
      </w:pPr>
      <w:r w:rsidRPr="000169EF">
        <w:rPr>
          <w:rFonts w:ascii="Simplified Arabic" w:hAnsi="Simplified Arabic" w:cs="Simplified Arabic"/>
          <w:b/>
          <w:bCs/>
          <w:sz w:val="20"/>
          <w:szCs w:val="20"/>
          <w:rtl/>
        </w:rPr>
        <w:lastRenderedPageBreak/>
        <w:t>المصدر: سلطة النقد الفلسطينية, التقرير السنوي,  رام الله, أعداد مختلفة.</w:t>
      </w:r>
    </w:p>
    <w:p w:rsidR="001B28C7" w:rsidRPr="00236FEE" w:rsidRDefault="001B28C7" w:rsidP="00624491">
      <w:pPr>
        <w:spacing w:after="12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t>بالنظر إلى بيانات الجدول رقم (</w:t>
      </w:r>
      <w:r w:rsidRPr="00236FEE">
        <w:rPr>
          <w:rFonts w:ascii="Simplified Arabic" w:hAnsi="Simplified Arabic" w:cs="Simplified Arabic"/>
          <w:sz w:val="24"/>
          <w:szCs w:val="24"/>
        </w:rPr>
        <w:t>1</w:t>
      </w:r>
      <w:r w:rsidRPr="00236FEE">
        <w:rPr>
          <w:rFonts w:ascii="Simplified Arabic" w:hAnsi="Simplified Arabic" w:cs="Simplified Arabic"/>
          <w:sz w:val="24"/>
          <w:szCs w:val="24"/>
          <w:rtl/>
        </w:rPr>
        <w:t xml:space="preserve">), نلاحظ اعتماد السلطة في تمويل عجز موازنتها على المنح والمساعدات الدولية, حيث غطت هذه المساعدات </w:t>
      </w:r>
      <w:r w:rsidRPr="00236FEE">
        <w:rPr>
          <w:rFonts w:ascii="Simplified Arabic" w:hAnsi="Simplified Arabic" w:cs="Simplified Arabic"/>
          <w:sz w:val="24"/>
          <w:szCs w:val="24"/>
        </w:rPr>
        <w:t>73</w:t>
      </w:r>
      <w:r w:rsidRPr="00236FEE">
        <w:rPr>
          <w:rFonts w:ascii="Simplified Arabic" w:hAnsi="Simplified Arabic" w:cs="Simplified Arabic"/>
          <w:sz w:val="24"/>
          <w:szCs w:val="24"/>
          <w:rtl/>
        </w:rPr>
        <w:t>% من العجز خلال الفترة (</w:t>
      </w:r>
      <w:r w:rsidRPr="00236FEE">
        <w:rPr>
          <w:rFonts w:ascii="Simplified Arabic" w:hAnsi="Simplified Arabic" w:cs="Simplified Arabic"/>
          <w:sz w:val="24"/>
          <w:szCs w:val="24"/>
        </w:rPr>
        <w:t>2014-1995</w:t>
      </w:r>
      <w:r w:rsidRPr="00236FEE">
        <w:rPr>
          <w:rFonts w:ascii="Simplified Arabic" w:hAnsi="Simplified Arabic" w:cs="Simplified Arabic"/>
          <w:sz w:val="24"/>
          <w:szCs w:val="24"/>
          <w:rtl/>
        </w:rPr>
        <w:t xml:space="preserve">), في المقابل فإن ما يوجه من هذه المساعدات لدعم النفقات التطويرية هو </w:t>
      </w:r>
      <w:r w:rsidRPr="00236FEE">
        <w:rPr>
          <w:rFonts w:ascii="Simplified Arabic" w:hAnsi="Simplified Arabic" w:cs="Simplified Arabic"/>
          <w:sz w:val="24"/>
          <w:szCs w:val="24"/>
        </w:rPr>
        <w:t>27</w:t>
      </w:r>
      <w:r w:rsidRPr="00236FEE">
        <w:rPr>
          <w:rFonts w:ascii="Simplified Arabic" w:hAnsi="Simplified Arabic" w:cs="Simplified Arabic"/>
          <w:sz w:val="24"/>
          <w:szCs w:val="24"/>
          <w:rtl/>
        </w:rPr>
        <w:t>% فقط خلال نفس الفترة, وهو ما يشكل تهديداً للأمن القومي الفلسطيني نتيجة توجيه معظم المساعدات لتغطية العجز في الموازنة العامة بدلاً من توجيهها في تمكين الاقتصاد الوطني وبناء مؤسسات الدولة.</w:t>
      </w:r>
    </w:p>
    <w:p w:rsidR="001B28C7" w:rsidRPr="00756961" w:rsidRDefault="001B28C7" w:rsidP="00624491">
      <w:pPr>
        <w:pStyle w:val="a7"/>
        <w:numPr>
          <w:ilvl w:val="0"/>
          <w:numId w:val="38"/>
        </w:numPr>
        <w:spacing w:after="120" w:line="240" w:lineRule="auto"/>
        <w:ind w:left="0" w:firstLine="567"/>
        <w:jc w:val="lowKashida"/>
        <w:rPr>
          <w:rFonts w:ascii="Simplified Arabic" w:hAnsi="Simplified Arabic" w:cs="Simplified Arabic"/>
          <w:b/>
          <w:bCs/>
          <w:sz w:val="28"/>
          <w:szCs w:val="28"/>
        </w:rPr>
      </w:pPr>
      <w:r w:rsidRPr="00756961">
        <w:rPr>
          <w:rFonts w:ascii="Simplified Arabic" w:hAnsi="Simplified Arabic" w:cs="Simplified Arabic"/>
          <w:b/>
          <w:bCs/>
          <w:sz w:val="28"/>
          <w:szCs w:val="28"/>
          <w:rtl/>
        </w:rPr>
        <w:t>تقييم المساعدات الدولية المقدمة للسلطة الفلسطينية:</w:t>
      </w:r>
    </w:p>
    <w:p w:rsidR="001B28C7" w:rsidRPr="00236FEE" w:rsidRDefault="001B28C7" w:rsidP="00624491">
      <w:pPr>
        <w:spacing w:after="12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t>بالرغم من أنّ المساعدات الدولية حققت بعض الانجازات في مجال تطوير البنية التحتية وتقديم الخدمات الاجتماعية الأساسية التي تحققت بفضل هذه المساعدات, إلّا أنّ هذه المساعدات فشلت في إزالة الآثار السلبية الناجمة عن السياسة الإسرائيلية العدوانية ضد الشعب الفلسطيني, كما لم تنجح هذه المساعدات في تقليل اعتمادية السلطة عليها وتعزيز فرص النمو الذاتي, وهو ما شكل تهديداً للأمن القومي الفلسطيني, ويبدو أن مصدر الفشل نابع من الأهداف الأساسية لتقديم المساعدات والمرتبط بشكل أساسي بأجندات سياسية خارجية ساهمت بشكل كبير في إعفاء إسرائيل من تحمل الأعباء الاقتصادية والخدماتية المترتبة على احتلال الأراضي الفلسطينية لعقود من الزمن</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rPr>
        <w:footnoteReference w:id="28"/>
      </w:r>
      <w:r w:rsidRPr="00236FEE">
        <w:rPr>
          <w:rFonts w:ascii="Simplified Arabic" w:hAnsi="Simplified Arabic" w:cs="Simplified Arabic"/>
          <w:sz w:val="24"/>
          <w:szCs w:val="24"/>
          <w:vertAlign w:val="superscript"/>
          <w:rtl/>
        </w:rPr>
        <w:t>)</w:t>
      </w:r>
      <w:r w:rsidRPr="00236FEE">
        <w:rPr>
          <w:rFonts w:ascii="Simplified Arabic" w:hAnsi="Simplified Arabic" w:cs="Simplified Arabic"/>
          <w:sz w:val="24"/>
          <w:szCs w:val="24"/>
          <w:rtl/>
        </w:rPr>
        <w:t>.</w:t>
      </w:r>
    </w:p>
    <w:p w:rsidR="001B28C7" w:rsidRPr="00236FEE" w:rsidRDefault="001B28C7" w:rsidP="00624491">
      <w:pPr>
        <w:spacing w:after="12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t>كما أنه نتج عن مشاركة الجهات الدولية المانحة في عملية الإصلاح والبناء المؤسسي الفلسطيني, بالإضافة إلى شروط المساعدات التي تفرضها وإطار العمل السياسي الحالي لاتفاق باريس, انكماش مجال التحرك المتاح للسلطة الفلسطينية على صعيد السياسات, فمن ناحية تصاغ السياسات الفلسطينية في إطار ما تطرحه وتوافق عليه الجهات المانحة, وتعد من الناحية الأخرى بمثابة مجرد استجابة للشروط العديدة ( والمتناقضة أحياناً) للمساعدات التي تقدمها هذه المساعدات, وقد أدت هذه القيود ليس فقط من الحد من قدرة المؤسسات الفلسطينية على الاستجابة لاحتياجات الاقتصاد الفلسطيني, ولكن أيضاً إلى خلق انقسامات داخل المؤسسات والوزارات الفلسطينية.</w:t>
      </w:r>
    </w:p>
    <w:p w:rsidR="001B28C7" w:rsidRPr="00236FEE" w:rsidRDefault="001B28C7" w:rsidP="00624491">
      <w:pPr>
        <w:spacing w:after="12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sz w:val="24"/>
          <w:szCs w:val="24"/>
          <w:rtl/>
        </w:rPr>
        <w:lastRenderedPageBreak/>
        <w:t>ويتمثل أحد مدلولات الدور الهام الذي تلعبه الجهات الدولية المانحة في صياغة السياسة الاقتصادية الفلسطينية في التغير الذي حدث في طبيعة العلاقات والهياكل الاقتصادية, فواقع الصراع والإغلاق قد أعاق الأنشطة التجارية الفلسطينية من ناحية, ورفع مستويات المساعدات الأجنبية التي تدفقت على الاقتصاد من ناحية أخرى, وما لحق ذلك من الاعتماد على المساعدات كمصدر رئيسي للإيرادات الحكومية, مما يعني أن مستويات التشغيل لم تعد تعكس الطاقة الإنتاجية للاقتصاد وهو ما شكل تهديداً للأمن القومي الفلسطيني , وخاصة بعد أن بات تركيز السلطة والجهات المانحة على الاحتياجات المشروعة للحالات الطارئة والإغاثة بدلاً من الاهتمام في القطاعات المنتجة التي تقود إلى التنمية المستدامة</w:t>
      </w:r>
      <w:r w:rsidRPr="00236FEE">
        <w:rPr>
          <w:rFonts w:ascii="Simplified Arabic" w:hAnsi="Simplified Arabic" w:cs="Simplified Arabic"/>
          <w:sz w:val="24"/>
          <w:szCs w:val="24"/>
          <w:vertAlign w:val="superscript"/>
          <w:rtl/>
        </w:rPr>
        <w:t>(</w:t>
      </w:r>
      <w:r w:rsidRPr="00236FEE">
        <w:rPr>
          <w:rStyle w:val="a9"/>
          <w:rFonts w:ascii="Simplified Arabic" w:hAnsi="Simplified Arabic" w:cs="Simplified Arabic"/>
          <w:sz w:val="24"/>
          <w:szCs w:val="24"/>
          <w:rtl/>
        </w:rPr>
        <w:footnoteReference w:id="29"/>
      </w:r>
      <w:r w:rsidRPr="00236FEE">
        <w:rPr>
          <w:rFonts w:ascii="Simplified Arabic" w:hAnsi="Simplified Arabic" w:cs="Simplified Arabic"/>
          <w:sz w:val="24"/>
          <w:szCs w:val="24"/>
          <w:vertAlign w:val="superscript"/>
          <w:rtl/>
        </w:rPr>
        <w:t>)</w:t>
      </w:r>
      <w:r w:rsidRPr="00236FEE">
        <w:rPr>
          <w:rFonts w:ascii="Simplified Arabic" w:hAnsi="Simplified Arabic" w:cs="Simplified Arabic"/>
          <w:sz w:val="24"/>
          <w:szCs w:val="24"/>
          <w:rtl/>
        </w:rPr>
        <w:t>.</w:t>
      </w:r>
    </w:p>
    <w:p w:rsidR="001B28C7" w:rsidRPr="00236FEE" w:rsidRDefault="001B28C7" w:rsidP="00624491">
      <w:pPr>
        <w:spacing w:after="0" w:line="240" w:lineRule="auto"/>
        <w:ind w:firstLine="567"/>
        <w:jc w:val="lowKashida"/>
        <w:rPr>
          <w:rFonts w:ascii="Simplified Arabic" w:hAnsi="Simplified Arabic" w:cs="Simplified Arabic"/>
          <w:sz w:val="24"/>
          <w:szCs w:val="24"/>
          <w:rtl/>
        </w:rPr>
      </w:pPr>
      <w:r w:rsidRPr="00236FEE">
        <w:rPr>
          <w:rFonts w:ascii="Simplified Arabic" w:hAnsi="Simplified Arabic" w:cs="Simplified Arabic"/>
          <w:b/>
          <w:bCs/>
          <w:sz w:val="24"/>
          <w:szCs w:val="24"/>
          <w:rtl/>
        </w:rPr>
        <w:t xml:space="preserve">وكخلاصة </w:t>
      </w:r>
      <w:r w:rsidRPr="00236FEE">
        <w:rPr>
          <w:rFonts w:ascii="Simplified Arabic" w:hAnsi="Simplified Arabic" w:cs="Simplified Arabic"/>
          <w:sz w:val="24"/>
          <w:szCs w:val="24"/>
          <w:rtl/>
        </w:rPr>
        <w:t xml:space="preserve">نجد أنّ </w:t>
      </w:r>
      <w:r w:rsidRPr="00236FEE">
        <w:rPr>
          <w:rFonts w:ascii="Simplified Arabic" w:hAnsi="Simplified Arabic" w:cs="Simplified Arabic"/>
          <w:sz w:val="24"/>
          <w:szCs w:val="24"/>
          <w:rtl/>
          <w:lang w:bidi="ar-IQ"/>
        </w:rPr>
        <w:t>الاقتصاد الفلسطيني عانى طوال السنوات الماضية من عدّة اختلالات هيكليّة أعاقت نموّه وتطوّره، نتيجة الإجراءات الإسرائيليّة التّدميريّة الّتي كرّست تبعيّة الاقتصاد الفلسطيني للاقتصاد الإسرائيلي، والّتي لم تقتصر على السيطرة على الأرض والموارد والمعابر، بل تعدّتها إلى التحكّم بسياسات الاستيراد والتّصدير الفلسطينيّة، فحالت دون انخراط الاقتصاد الفلسطيني في منظومة التجارة الدوليّة، وجعلته رهيناً للمساعدات الخارجيّة، ولأموال المقاصة الّتي تتحصّل من خلال إسرائيل.</w:t>
      </w:r>
    </w:p>
    <w:p w:rsidR="001B28C7" w:rsidRPr="00236FEE" w:rsidRDefault="001B28C7" w:rsidP="00624491">
      <w:pPr>
        <w:spacing w:after="0" w:line="240" w:lineRule="auto"/>
        <w:ind w:firstLine="567"/>
        <w:jc w:val="lowKashida"/>
        <w:rPr>
          <w:rFonts w:ascii="Simplified Arabic" w:hAnsi="Simplified Arabic" w:cs="Simplified Arabic"/>
          <w:sz w:val="24"/>
          <w:szCs w:val="24"/>
          <w:rtl/>
          <w:lang w:bidi="ar-IQ"/>
        </w:rPr>
      </w:pPr>
      <w:r w:rsidRPr="00236FEE">
        <w:rPr>
          <w:rFonts w:ascii="Simplified Arabic" w:hAnsi="Simplified Arabic" w:cs="Simplified Arabic"/>
          <w:sz w:val="24"/>
          <w:szCs w:val="24"/>
          <w:rtl/>
          <w:lang w:bidi="ar-IQ"/>
        </w:rPr>
        <w:t>بناءً على ما سبق، وبالتزامن مع معركة التحرّر السياسي الّتي تخوضها القيادة الفلسطينيّة في المحافل الدوليّة، لابدّ من إطلاق معركة التحرّر الاقتصادي من إسرائيل، أي التخلّص من التبعيّة الاقتصاديّة لإسرائيل، وتقليص الاعتماد على المساعدات الخارجيّة، فالمرحلة الآن تتطلّب توطين الاقتصاد الفلسطيني، وبناءه على أسسٍ متينة، وقواعد صلبة، وتحويله من اقتصادٍ تابعٍ يرزح تحت الاحتلال، إلى اقتصاد دولة مستقلّة، قادر على الاعتماد الذّاتي، والنموّ المستدام، وخلق فرص عمل دائمة ومستمرّة، ولتحقيق هذا الهدف لابدّ من التحرّك في عدّة اتجاهات:</w:t>
      </w:r>
    </w:p>
    <w:p w:rsidR="001B28C7" w:rsidRPr="00236FEE" w:rsidRDefault="001B28C7" w:rsidP="00624491">
      <w:pPr>
        <w:spacing w:after="0" w:line="240" w:lineRule="auto"/>
        <w:ind w:firstLine="567"/>
        <w:jc w:val="lowKashida"/>
        <w:rPr>
          <w:rFonts w:ascii="Simplified Arabic" w:hAnsi="Simplified Arabic" w:cs="Simplified Arabic"/>
          <w:sz w:val="24"/>
          <w:szCs w:val="24"/>
          <w:rtl/>
          <w:lang w:bidi="ar-IQ"/>
        </w:rPr>
      </w:pPr>
      <w:r w:rsidRPr="00236FEE">
        <w:rPr>
          <w:rFonts w:ascii="Simplified Arabic" w:hAnsi="Simplified Arabic" w:cs="Simplified Arabic"/>
          <w:b/>
          <w:bCs/>
          <w:sz w:val="24"/>
          <w:szCs w:val="24"/>
          <w:rtl/>
          <w:lang w:bidi="ar-IQ"/>
        </w:rPr>
        <w:t>أوّلاً</w:t>
      </w:r>
      <w:r w:rsidRPr="00236FEE">
        <w:rPr>
          <w:rFonts w:ascii="Simplified Arabic" w:hAnsi="Simplified Arabic" w:cs="Simplified Arabic"/>
          <w:sz w:val="24"/>
          <w:szCs w:val="24"/>
          <w:rtl/>
          <w:lang w:bidi="ar-IQ"/>
        </w:rPr>
        <w:t xml:space="preserve">: </w:t>
      </w:r>
      <w:r w:rsidRPr="00236FEE">
        <w:rPr>
          <w:rFonts w:ascii="Simplified Arabic" w:hAnsi="Simplified Arabic" w:cs="Simplified Arabic"/>
          <w:sz w:val="24"/>
          <w:szCs w:val="24"/>
          <w:rtl/>
        </w:rPr>
        <w:t>توجيه المنح والمساعدات الدوليّة نحو إعادة بناء وتوسعة القاعدة الاقتصاديّة الإنتاجيّة</w:t>
      </w:r>
      <w:r w:rsidRPr="00236FEE">
        <w:rPr>
          <w:rFonts w:ascii="Simplified Arabic" w:hAnsi="Simplified Arabic" w:cs="Simplified Arabic"/>
          <w:sz w:val="24"/>
          <w:szCs w:val="24"/>
          <w:rtl/>
          <w:lang w:bidi="ar-IQ"/>
        </w:rPr>
        <w:t xml:space="preserve">، مع التركيز على بعض القطاعات الاقتصاديّة الواعدة، ذات الأهميّة الاستراتيجيّة، </w:t>
      </w:r>
      <w:r w:rsidRPr="00236FEE">
        <w:rPr>
          <w:rFonts w:ascii="Simplified Arabic" w:hAnsi="Simplified Arabic" w:cs="Simplified Arabic"/>
          <w:sz w:val="24"/>
          <w:szCs w:val="24"/>
          <w:rtl/>
          <w:lang w:bidi="ar-IQ"/>
        </w:rPr>
        <w:lastRenderedPageBreak/>
        <w:t>مثل قطاع الصناعات التّحويليّة والصناعات الإنشائيّة، وقطاع الطاقة، ومن ثمّ التدرّج إلى قطاعات اقتصاديّة أخرى، ممّا سيؤدي إلى تعزيز القدرة الذاتيّة للاقتصاد الفلسطيني.</w:t>
      </w:r>
    </w:p>
    <w:p w:rsidR="001B28C7" w:rsidRPr="00236FEE" w:rsidRDefault="001B28C7" w:rsidP="00624491">
      <w:pPr>
        <w:spacing w:after="0" w:line="240" w:lineRule="auto"/>
        <w:ind w:firstLine="567"/>
        <w:jc w:val="lowKashida"/>
        <w:rPr>
          <w:rFonts w:ascii="Simplified Arabic" w:hAnsi="Simplified Arabic" w:cs="Simplified Arabic"/>
          <w:sz w:val="24"/>
          <w:szCs w:val="24"/>
          <w:rtl/>
          <w:lang w:bidi="ar-IQ"/>
        </w:rPr>
      </w:pPr>
      <w:r w:rsidRPr="00236FEE">
        <w:rPr>
          <w:rFonts w:ascii="Simplified Arabic" w:hAnsi="Simplified Arabic" w:cs="Simplified Arabic"/>
          <w:b/>
          <w:bCs/>
          <w:sz w:val="24"/>
          <w:szCs w:val="24"/>
          <w:rtl/>
          <w:lang w:bidi="ar-IQ"/>
        </w:rPr>
        <w:t>ثانياً:</w:t>
      </w:r>
      <w:r w:rsidRPr="00236FEE">
        <w:rPr>
          <w:rFonts w:ascii="Simplified Arabic" w:hAnsi="Simplified Arabic" w:cs="Simplified Arabic"/>
          <w:sz w:val="24"/>
          <w:szCs w:val="24"/>
          <w:rtl/>
          <w:lang w:bidi="ar-IQ"/>
        </w:rPr>
        <w:t xml:space="preserve"> زيادة القدرة الإنتاجيّة  للاقتصاد الفلسطيني كمّاً ونوعاً، مع التركيز على </w:t>
      </w:r>
      <w:r w:rsidRPr="00236FEE">
        <w:rPr>
          <w:rFonts w:ascii="Simplified Arabic" w:hAnsi="Simplified Arabic" w:cs="Simplified Arabic"/>
          <w:sz w:val="24"/>
          <w:szCs w:val="24"/>
          <w:rtl/>
        </w:rPr>
        <w:t>تعزيز جودة المنتج الفلسطيني خلال مراحل الإنتاج والتسويق، وخاصة من خلال تشجيع استخدام تطبيقات التكنولوجيا الجديدة وخفض الرسوم الجمركيّة على الماكينات مرتفعة التكنولوجيا، وإحكام الإشراف على المنتجات المحلّيّة لضمان مطابقتها للمعايير الدوليّة</w:t>
      </w:r>
      <w:r w:rsidRPr="00236FEE">
        <w:rPr>
          <w:rFonts w:ascii="Simplified Arabic" w:hAnsi="Simplified Arabic" w:cs="Simplified Arabic"/>
          <w:sz w:val="24"/>
          <w:szCs w:val="24"/>
          <w:lang w:bidi="ar-IQ"/>
        </w:rPr>
        <w:t>.</w:t>
      </w:r>
    </w:p>
    <w:p w:rsidR="001B28C7" w:rsidRPr="00236FEE" w:rsidRDefault="001B28C7" w:rsidP="00624491">
      <w:pPr>
        <w:spacing w:after="0" w:line="240" w:lineRule="auto"/>
        <w:ind w:firstLine="567"/>
        <w:jc w:val="lowKashida"/>
        <w:rPr>
          <w:rFonts w:ascii="Simplified Arabic" w:hAnsi="Simplified Arabic" w:cs="Simplified Arabic"/>
          <w:sz w:val="24"/>
          <w:szCs w:val="24"/>
          <w:rtl/>
          <w:lang w:bidi="ar-IQ"/>
        </w:rPr>
      </w:pPr>
      <w:r w:rsidRPr="00236FEE">
        <w:rPr>
          <w:rFonts w:ascii="Simplified Arabic" w:hAnsi="Simplified Arabic" w:cs="Simplified Arabic"/>
          <w:b/>
          <w:bCs/>
          <w:sz w:val="24"/>
          <w:szCs w:val="24"/>
          <w:rtl/>
          <w:lang w:bidi="ar-IQ"/>
        </w:rPr>
        <w:t>ثالثاً:</w:t>
      </w:r>
      <w:r w:rsidRPr="00236FEE">
        <w:rPr>
          <w:rFonts w:ascii="Simplified Arabic" w:hAnsi="Simplified Arabic" w:cs="Simplified Arabic"/>
          <w:sz w:val="24"/>
          <w:szCs w:val="24"/>
          <w:rtl/>
          <w:lang w:bidi="ar-IQ"/>
        </w:rPr>
        <w:t xml:space="preserve"> إلغاء اتفاق باريس الاقتصادي، وإلغاء الغلاف الجمركي الموحّد بين إسرائيل والسلطة الفلسطينيّة ، ودعم ومساندة حملات المقاطعة الاقتصاديّة للسلع الإسرائيليّة محليّاً ودوليّاً.</w:t>
      </w:r>
    </w:p>
    <w:p w:rsidR="001B28C7" w:rsidRPr="00236FEE" w:rsidRDefault="001B28C7" w:rsidP="00624491">
      <w:pPr>
        <w:spacing w:after="0" w:line="240" w:lineRule="auto"/>
        <w:ind w:firstLine="567"/>
        <w:jc w:val="lowKashida"/>
        <w:rPr>
          <w:rFonts w:ascii="Simplified Arabic" w:hAnsi="Simplified Arabic" w:cs="Simplified Arabic"/>
          <w:sz w:val="24"/>
          <w:szCs w:val="24"/>
          <w:rtl/>
          <w:lang w:bidi="ar-IQ"/>
        </w:rPr>
      </w:pPr>
      <w:r w:rsidRPr="00236FEE">
        <w:rPr>
          <w:rFonts w:ascii="Simplified Arabic" w:hAnsi="Simplified Arabic" w:cs="Simplified Arabic"/>
          <w:b/>
          <w:bCs/>
          <w:sz w:val="24"/>
          <w:szCs w:val="24"/>
          <w:rtl/>
          <w:lang w:bidi="ar-IQ"/>
        </w:rPr>
        <w:t>رابعاً</w:t>
      </w:r>
      <w:r w:rsidRPr="00236FEE">
        <w:rPr>
          <w:rFonts w:ascii="Simplified Arabic" w:hAnsi="Simplified Arabic" w:cs="Simplified Arabic"/>
          <w:sz w:val="24"/>
          <w:szCs w:val="24"/>
          <w:rtl/>
          <w:lang w:bidi="ar-IQ"/>
        </w:rPr>
        <w:t xml:space="preserve">: </w:t>
      </w:r>
      <w:r w:rsidRPr="00236FEE">
        <w:rPr>
          <w:rFonts w:ascii="Simplified Arabic" w:hAnsi="Simplified Arabic" w:cs="Simplified Arabic"/>
          <w:sz w:val="24"/>
          <w:szCs w:val="24"/>
          <w:rtl/>
        </w:rPr>
        <w:t xml:space="preserve">إنشاء مكاتب تمثيل تجاريّة في الخارج، ومؤسّسات متخصّصة في تنظيم المعارض والشؤون التجاريّة، وذلك بهدف تعزيز التجارة الخارجيّة الفلسطينيّة، </w:t>
      </w:r>
      <w:r w:rsidRPr="00236FEE">
        <w:rPr>
          <w:rFonts w:ascii="Simplified Arabic" w:hAnsi="Simplified Arabic" w:cs="Simplified Arabic"/>
          <w:sz w:val="24"/>
          <w:szCs w:val="24"/>
          <w:rtl/>
          <w:lang w:bidi="ar-IQ"/>
        </w:rPr>
        <w:t>وتطوير علاقة فلسطين التجاريّة والاقتصاديّة مع العالم، وتوقيع الاتفاقيات والشراكات الدوليّة، الّتي من شأنها أنْ تسهّل التجارة الخارجيّة الفلسطينيّة.</w:t>
      </w:r>
    </w:p>
    <w:p w:rsidR="001B28C7" w:rsidRPr="00236FEE" w:rsidRDefault="001B28C7" w:rsidP="00624491">
      <w:pPr>
        <w:spacing w:after="0" w:line="240" w:lineRule="auto"/>
        <w:ind w:firstLine="567"/>
        <w:jc w:val="lowKashida"/>
        <w:rPr>
          <w:rFonts w:ascii="Simplified Arabic" w:hAnsi="Simplified Arabic" w:cs="Simplified Arabic"/>
          <w:sz w:val="24"/>
          <w:szCs w:val="24"/>
          <w:rtl/>
          <w:lang w:bidi="ar-IQ"/>
        </w:rPr>
      </w:pPr>
      <w:r w:rsidRPr="00236FEE">
        <w:rPr>
          <w:rFonts w:ascii="Simplified Arabic" w:hAnsi="Simplified Arabic" w:cs="Simplified Arabic"/>
          <w:b/>
          <w:bCs/>
          <w:sz w:val="24"/>
          <w:szCs w:val="24"/>
          <w:rtl/>
          <w:lang w:bidi="ar-IQ"/>
        </w:rPr>
        <w:t>خامساً:</w:t>
      </w:r>
      <w:r w:rsidRPr="00236FEE">
        <w:rPr>
          <w:rFonts w:ascii="Simplified Arabic" w:hAnsi="Simplified Arabic" w:cs="Simplified Arabic"/>
          <w:sz w:val="24"/>
          <w:szCs w:val="24"/>
          <w:rtl/>
          <w:lang w:bidi="ar-IQ"/>
        </w:rPr>
        <w:t xml:space="preserve"> تنمية التبادل التجاري بين فلسطين والدول العربيّة، وذلك من خلال دعم وتفعيل مبادرة التكامل الاقتصادي الفلسطيني العربي، الّتي أطلقها منتدى الأعمال الفلسطيني الدّولي في عمّان في شهر تشرين ثاني/2015، والّتي تهدف إلى تحرير الاقتصاد الفلسطيني من التبعيّة لإسرائيل، ف</w:t>
      </w:r>
      <w:r w:rsidRPr="00236FEE">
        <w:rPr>
          <w:rFonts w:ascii="Simplified Arabic" w:hAnsi="Simplified Arabic" w:cs="Simplified Arabic"/>
          <w:sz w:val="24"/>
          <w:szCs w:val="24"/>
          <w:rtl/>
        </w:rPr>
        <w:t xml:space="preserve">الاندماج الإقليمي العربي يمثّل فرصة حقيقيّة لتنمية قطاع التجارة الفلسطيني من خلال توسيع وتنويع نطاق الأنشطة التجاريّة له بعيداً عن </w:t>
      </w:r>
      <w:r w:rsidRPr="00236FEE">
        <w:rPr>
          <w:rFonts w:ascii="Simplified Arabic" w:hAnsi="Simplified Arabic" w:cs="Simplified Arabic"/>
          <w:sz w:val="24"/>
          <w:szCs w:val="24"/>
          <w:rtl/>
          <w:lang w:bidi="ar-IQ"/>
        </w:rPr>
        <w:t>الشريك ال</w:t>
      </w:r>
      <w:r w:rsidRPr="00236FEE">
        <w:rPr>
          <w:rFonts w:ascii="Simplified Arabic" w:hAnsi="Simplified Arabic" w:cs="Simplified Arabic"/>
          <w:sz w:val="24"/>
          <w:szCs w:val="24"/>
          <w:rtl/>
        </w:rPr>
        <w:t xml:space="preserve">إسرائيلي المهيمن، </w:t>
      </w:r>
      <w:r w:rsidRPr="00236FEE">
        <w:rPr>
          <w:rFonts w:ascii="Simplified Arabic" w:hAnsi="Simplified Arabic" w:cs="Simplified Arabic"/>
          <w:sz w:val="24"/>
          <w:szCs w:val="24"/>
          <w:rtl/>
          <w:lang w:bidi="ar-IQ"/>
        </w:rPr>
        <w:t>و</w:t>
      </w:r>
      <w:r w:rsidRPr="00236FEE">
        <w:rPr>
          <w:rFonts w:ascii="Simplified Arabic" w:hAnsi="Simplified Arabic" w:cs="Simplified Arabic"/>
          <w:sz w:val="24"/>
          <w:szCs w:val="24"/>
          <w:rtl/>
        </w:rPr>
        <w:t>توفير الاستقلال الذي تحتاجه التجارة الفلسطينيّة كمنطقة تجاريّة مستقلّة ذات سيادة جمركيّة</w:t>
      </w:r>
      <w:r w:rsidRPr="00236FEE">
        <w:rPr>
          <w:rFonts w:ascii="Simplified Arabic" w:hAnsi="Simplified Arabic" w:cs="Simplified Arabic"/>
          <w:sz w:val="24"/>
          <w:szCs w:val="24"/>
          <w:rtl/>
          <w:lang w:bidi="ar-IQ"/>
        </w:rPr>
        <w:t>، وبالتّالي لابدّ من متابعة حثيثة لهذه المبادرة، ووضع تصوّر من قبل الحكومة الفلسطينيّة لآليّات تنفيذها، وتشخيص معيقات التبادل الاقتصادي الفلسطيني العربي، وتوضيح الفرص الاستثماريّة المتاحة في فلسطين.</w:t>
      </w:r>
    </w:p>
    <w:p w:rsidR="001B28C7" w:rsidRPr="00236FEE" w:rsidRDefault="001B28C7" w:rsidP="00624491">
      <w:pPr>
        <w:spacing w:after="0" w:line="240" w:lineRule="auto"/>
        <w:ind w:firstLine="567"/>
        <w:jc w:val="lowKashida"/>
        <w:rPr>
          <w:rFonts w:ascii="Simplified Arabic" w:hAnsi="Simplified Arabic" w:cs="Simplified Arabic"/>
          <w:sz w:val="24"/>
          <w:szCs w:val="24"/>
          <w:rtl/>
          <w:lang w:bidi="ar-IQ"/>
        </w:rPr>
      </w:pPr>
      <w:r w:rsidRPr="00236FEE">
        <w:rPr>
          <w:rFonts w:ascii="Simplified Arabic" w:hAnsi="Simplified Arabic" w:cs="Simplified Arabic"/>
          <w:b/>
          <w:bCs/>
          <w:sz w:val="24"/>
          <w:szCs w:val="24"/>
          <w:rtl/>
          <w:lang w:bidi="ar-IQ"/>
        </w:rPr>
        <w:t>سادساً:</w:t>
      </w:r>
      <w:r w:rsidRPr="00236FEE">
        <w:rPr>
          <w:rFonts w:ascii="Simplified Arabic" w:hAnsi="Simplified Arabic" w:cs="Simplified Arabic"/>
          <w:sz w:val="24"/>
          <w:szCs w:val="24"/>
          <w:rtl/>
        </w:rPr>
        <w:t xml:space="preserve"> تحسين المناخ الاستثماري لجذب الاستثمار الأجنبي المباشر إلى الأراضي الفلسطينيّة، وذلك من خلال تشجيع الشركات غير المسجّلة على القيد في بورصة فلسطين، ممّا سوف يعمّق السوق ويعزّز الثقة بها</w:t>
      </w:r>
      <w:r w:rsidRPr="00236FEE">
        <w:rPr>
          <w:rFonts w:ascii="Simplified Arabic" w:hAnsi="Simplified Arabic" w:cs="Simplified Arabic"/>
          <w:sz w:val="24"/>
          <w:szCs w:val="24"/>
          <w:rtl/>
          <w:lang w:bidi="ar-IQ"/>
        </w:rPr>
        <w:t xml:space="preserve">، وكذلك </w:t>
      </w:r>
      <w:r w:rsidRPr="00236FEE">
        <w:rPr>
          <w:rFonts w:ascii="Simplified Arabic" w:hAnsi="Simplified Arabic" w:cs="Simplified Arabic"/>
          <w:sz w:val="24"/>
          <w:szCs w:val="24"/>
          <w:rtl/>
        </w:rPr>
        <w:t>تشجيع تداول الأسهم الفلسطينيّة في</w:t>
      </w:r>
      <w:r w:rsidRPr="00236FEE">
        <w:rPr>
          <w:rFonts w:ascii="Simplified Arabic" w:hAnsi="Simplified Arabic" w:cs="Simplified Arabic"/>
          <w:sz w:val="24"/>
          <w:szCs w:val="24"/>
          <w:rtl/>
          <w:lang w:bidi="ar-IQ"/>
        </w:rPr>
        <w:t xml:space="preserve"> ال</w:t>
      </w:r>
      <w:r w:rsidRPr="00236FEE">
        <w:rPr>
          <w:rFonts w:ascii="Simplified Arabic" w:hAnsi="Simplified Arabic" w:cs="Simplified Arabic"/>
          <w:sz w:val="24"/>
          <w:szCs w:val="24"/>
          <w:rtl/>
        </w:rPr>
        <w:t xml:space="preserve">أسواق الدوليّة، وإطلاق نظام للتجارة الإلكترونية، لتمكين المستثمرين الأجانب من التداول مباشرةً </w:t>
      </w:r>
      <w:r w:rsidRPr="00236FEE">
        <w:rPr>
          <w:rFonts w:ascii="Simplified Arabic" w:hAnsi="Simplified Arabic" w:cs="Simplified Arabic"/>
          <w:sz w:val="24"/>
          <w:szCs w:val="24"/>
          <w:rtl/>
        </w:rPr>
        <w:lastRenderedPageBreak/>
        <w:t xml:space="preserve">عبر الإنترنت، تسهيلاً </w:t>
      </w:r>
      <w:r w:rsidRPr="00236FEE">
        <w:rPr>
          <w:rFonts w:ascii="Simplified Arabic" w:hAnsi="Simplified Arabic" w:cs="Simplified Arabic"/>
          <w:sz w:val="24"/>
          <w:szCs w:val="24"/>
          <w:rtl/>
          <w:lang w:bidi="ar-IQ"/>
        </w:rPr>
        <w:t>ل</w:t>
      </w:r>
      <w:r w:rsidRPr="00236FEE">
        <w:rPr>
          <w:rFonts w:ascii="Simplified Arabic" w:hAnsi="Simplified Arabic" w:cs="Simplified Arabic"/>
          <w:sz w:val="24"/>
          <w:szCs w:val="24"/>
          <w:rtl/>
        </w:rPr>
        <w:t>نفاذ المستثمر الأجنبي للأسواق الفلسطينيّة</w:t>
      </w:r>
      <w:r w:rsidRPr="00236FEE">
        <w:rPr>
          <w:rFonts w:ascii="Simplified Arabic" w:hAnsi="Simplified Arabic" w:cs="Simplified Arabic"/>
          <w:sz w:val="24"/>
          <w:szCs w:val="24"/>
          <w:rtl/>
          <w:lang w:bidi="ar-IQ"/>
        </w:rPr>
        <w:t xml:space="preserve">،  </w:t>
      </w:r>
      <w:r w:rsidRPr="00236FEE">
        <w:rPr>
          <w:rFonts w:ascii="Simplified Arabic" w:hAnsi="Simplified Arabic" w:cs="Simplified Arabic"/>
          <w:sz w:val="24"/>
          <w:szCs w:val="24"/>
          <w:rtl/>
        </w:rPr>
        <w:t>وتقييم دور وإنتاجية البورصة الفلسطينيّة باستمرار لتدعيم دورها في جذب الاستثمار الأجنبي المباشر</w:t>
      </w:r>
      <w:r w:rsidRPr="00236FEE">
        <w:rPr>
          <w:rFonts w:ascii="Simplified Arabic" w:hAnsi="Simplified Arabic" w:cs="Simplified Arabic"/>
          <w:sz w:val="24"/>
          <w:szCs w:val="24"/>
          <w:lang w:bidi="ar-IQ"/>
        </w:rPr>
        <w:t>.</w:t>
      </w:r>
    </w:p>
    <w:p w:rsidR="001B28C7" w:rsidRPr="00236FEE" w:rsidRDefault="001B28C7" w:rsidP="00624491">
      <w:pPr>
        <w:spacing w:after="0" w:line="240" w:lineRule="auto"/>
        <w:ind w:firstLine="567"/>
        <w:jc w:val="lowKashida"/>
        <w:rPr>
          <w:rFonts w:ascii="Simplified Arabic" w:hAnsi="Simplified Arabic" w:cs="Simplified Arabic"/>
          <w:sz w:val="24"/>
          <w:szCs w:val="24"/>
          <w:lang w:bidi="ar-IQ"/>
        </w:rPr>
      </w:pPr>
    </w:p>
    <w:p w:rsidR="001B28C7" w:rsidRPr="001B28C7" w:rsidRDefault="001B28C7" w:rsidP="00624491">
      <w:pPr>
        <w:spacing w:after="0" w:line="240" w:lineRule="auto"/>
        <w:ind w:firstLine="567"/>
        <w:jc w:val="lowKashida"/>
        <w:outlineLvl w:val="2"/>
        <w:rPr>
          <w:rFonts w:ascii="Times New Roman" w:eastAsia="Times New Roman" w:hAnsi="Times New Roman" w:cs="Mudir MT"/>
          <w:bCs/>
          <w:sz w:val="32"/>
          <w:szCs w:val="32"/>
          <w:rtl/>
          <w:lang w:val="x-none" w:eastAsia="x-none"/>
        </w:rPr>
      </w:pPr>
      <w:r w:rsidRPr="001B28C7">
        <w:rPr>
          <w:rFonts w:ascii="Times New Roman" w:eastAsia="Times New Roman" w:hAnsi="Times New Roman" w:cs="Mudir MT"/>
          <w:bCs/>
          <w:sz w:val="32"/>
          <w:szCs w:val="32"/>
          <w:rtl/>
          <w:lang w:val="x-none" w:eastAsia="x-none"/>
        </w:rPr>
        <w:t>المراجع:</w:t>
      </w:r>
    </w:p>
    <w:p w:rsidR="001B28C7" w:rsidRPr="00236FEE" w:rsidRDefault="001B28C7" w:rsidP="00624491">
      <w:pPr>
        <w:numPr>
          <w:ilvl w:val="0"/>
          <w:numId w:val="11"/>
        </w:numPr>
        <w:spacing w:after="120" w:line="240" w:lineRule="auto"/>
        <w:ind w:left="765" w:hanging="425"/>
        <w:jc w:val="lowKashida"/>
        <w:rPr>
          <w:rFonts w:ascii="Simplified Arabic" w:hAnsi="Simplified Arabic" w:cs="Simplified Arabic"/>
          <w:sz w:val="24"/>
          <w:szCs w:val="24"/>
        </w:rPr>
      </w:pPr>
      <w:r w:rsidRPr="00236FEE">
        <w:rPr>
          <w:rFonts w:ascii="Simplified Arabic" w:hAnsi="Simplified Arabic" w:cs="Simplified Arabic"/>
          <w:sz w:val="24"/>
          <w:szCs w:val="24"/>
          <w:rtl/>
        </w:rPr>
        <w:t>سلطة النقد الفلسطينية، التقرير السنوي 2014، رام الله، حزيران 2014.</w:t>
      </w:r>
    </w:p>
    <w:p w:rsidR="001B28C7" w:rsidRPr="00236FEE" w:rsidRDefault="001B28C7" w:rsidP="00624491">
      <w:pPr>
        <w:numPr>
          <w:ilvl w:val="0"/>
          <w:numId w:val="11"/>
        </w:numPr>
        <w:spacing w:after="120" w:line="240" w:lineRule="auto"/>
        <w:ind w:left="765" w:hanging="425"/>
        <w:jc w:val="lowKashida"/>
        <w:rPr>
          <w:rFonts w:ascii="Simplified Arabic" w:hAnsi="Simplified Arabic" w:cs="Simplified Arabic"/>
          <w:sz w:val="24"/>
          <w:szCs w:val="24"/>
        </w:rPr>
      </w:pPr>
      <w:r w:rsidRPr="00236FEE">
        <w:rPr>
          <w:rFonts w:ascii="Simplified Arabic" w:hAnsi="Simplified Arabic" w:cs="Simplified Arabic"/>
          <w:sz w:val="24"/>
          <w:szCs w:val="24"/>
          <w:rtl/>
        </w:rPr>
        <w:t>سوسن الهدهد، التسرب المالي لدى خزينة السلطة الفلسطينية وعلاقته بالمستوردات غير المباشرة، رسالة ماجستير غير منشورة، جامعة النجاح، نابلس، 2010.</w:t>
      </w:r>
    </w:p>
    <w:p w:rsidR="001B28C7" w:rsidRPr="00236FEE" w:rsidRDefault="001B28C7" w:rsidP="00624491">
      <w:pPr>
        <w:numPr>
          <w:ilvl w:val="0"/>
          <w:numId w:val="11"/>
        </w:numPr>
        <w:spacing w:after="120" w:line="240" w:lineRule="auto"/>
        <w:ind w:left="765" w:hanging="425"/>
        <w:jc w:val="lowKashida"/>
        <w:rPr>
          <w:rFonts w:ascii="Simplified Arabic" w:hAnsi="Simplified Arabic" w:cs="Simplified Arabic"/>
          <w:sz w:val="24"/>
          <w:szCs w:val="24"/>
        </w:rPr>
      </w:pPr>
      <w:r w:rsidRPr="00236FEE">
        <w:rPr>
          <w:rFonts w:ascii="Simplified Arabic" w:hAnsi="Simplified Arabic" w:cs="Simplified Arabic"/>
          <w:sz w:val="24"/>
          <w:szCs w:val="24"/>
          <w:rtl/>
        </w:rPr>
        <w:t xml:space="preserve">حنين </w:t>
      </w:r>
      <w:proofErr w:type="spellStart"/>
      <w:r w:rsidRPr="00236FEE">
        <w:rPr>
          <w:rFonts w:ascii="Simplified Arabic" w:hAnsi="Simplified Arabic" w:cs="Simplified Arabic"/>
          <w:sz w:val="24"/>
          <w:szCs w:val="24"/>
          <w:rtl/>
        </w:rPr>
        <w:t>حميض</w:t>
      </w:r>
      <w:proofErr w:type="spellEnd"/>
      <w:r w:rsidRPr="00236FEE">
        <w:rPr>
          <w:rFonts w:ascii="Simplified Arabic" w:hAnsi="Simplified Arabic" w:cs="Simplified Arabic"/>
          <w:sz w:val="24"/>
          <w:szCs w:val="24"/>
          <w:rtl/>
        </w:rPr>
        <w:t>، تأثير المقاصة على الإيرادات الضريبية في فلسطين من (1995-2005)، رسالة ماجستير غير منشورة، جامعة النجاح، نابلس، 2006.</w:t>
      </w:r>
    </w:p>
    <w:p w:rsidR="001B28C7" w:rsidRPr="00236FEE" w:rsidRDefault="001B28C7" w:rsidP="00624491">
      <w:pPr>
        <w:pStyle w:val="a7"/>
        <w:numPr>
          <w:ilvl w:val="0"/>
          <w:numId w:val="11"/>
        </w:numPr>
        <w:spacing w:after="120" w:line="240" w:lineRule="auto"/>
        <w:ind w:left="765" w:hanging="425"/>
        <w:jc w:val="lowKashida"/>
        <w:rPr>
          <w:rFonts w:ascii="Simplified Arabic" w:hAnsi="Simplified Arabic" w:cs="Simplified Arabic"/>
          <w:sz w:val="24"/>
          <w:szCs w:val="24"/>
        </w:rPr>
      </w:pPr>
      <w:r w:rsidRPr="00236FEE">
        <w:rPr>
          <w:rFonts w:ascii="Simplified Arabic" w:hAnsi="Simplified Arabic" w:cs="Simplified Arabic"/>
          <w:sz w:val="24"/>
          <w:szCs w:val="24"/>
          <w:rtl/>
        </w:rPr>
        <w:t xml:space="preserve">عزمي عوض، أفاق ومحددات إصدار العملة الوطنية في ظل مجلس نقد فلسطيني كنظام للسياسة النقدية، مجلة جامعة الأزهر، سلسلة العلوم </w:t>
      </w:r>
      <w:proofErr w:type="spellStart"/>
      <w:r w:rsidRPr="00236FEE">
        <w:rPr>
          <w:rFonts w:ascii="Simplified Arabic" w:hAnsi="Simplified Arabic" w:cs="Simplified Arabic"/>
          <w:sz w:val="24"/>
          <w:szCs w:val="24"/>
          <w:rtl/>
        </w:rPr>
        <w:t>الإنسانية،المجلد</w:t>
      </w:r>
      <w:proofErr w:type="spellEnd"/>
      <w:r w:rsidRPr="00236FEE">
        <w:rPr>
          <w:rFonts w:ascii="Simplified Arabic" w:hAnsi="Simplified Arabic" w:cs="Simplified Arabic"/>
          <w:sz w:val="24"/>
          <w:szCs w:val="24"/>
        </w:rPr>
        <w:t xml:space="preserve">13 </w:t>
      </w:r>
      <w:r w:rsidRPr="00236FEE">
        <w:rPr>
          <w:rFonts w:ascii="Simplified Arabic" w:hAnsi="Simplified Arabic" w:cs="Simplified Arabic"/>
          <w:sz w:val="24"/>
          <w:szCs w:val="24"/>
          <w:rtl/>
        </w:rPr>
        <w:t>،العدد</w:t>
      </w:r>
      <w:r w:rsidRPr="00236FEE">
        <w:rPr>
          <w:rFonts w:ascii="Simplified Arabic" w:hAnsi="Simplified Arabic" w:cs="Simplified Arabic"/>
          <w:sz w:val="24"/>
          <w:szCs w:val="24"/>
        </w:rPr>
        <w:t>(B) 1</w:t>
      </w:r>
      <w:r w:rsidRPr="00236FEE">
        <w:rPr>
          <w:rFonts w:ascii="Simplified Arabic" w:hAnsi="Simplified Arabic" w:cs="Simplified Arabic"/>
          <w:sz w:val="24"/>
          <w:szCs w:val="24"/>
          <w:rtl/>
        </w:rPr>
        <w:t>، غزة، 2011.</w:t>
      </w:r>
    </w:p>
    <w:p w:rsidR="001B28C7" w:rsidRPr="00236FEE" w:rsidRDefault="001B28C7" w:rsidP="00624491">
      <w:pPr>
        <w:pStyle w:val="a7"/>
        <w:numPr>
          <w:ilvl w:val="0"/>
          <w:numId w:val="11"/>
        </w:numPr>
        <w:spacing w:after="120" w:line="240" w:lineRule="auto"/>
        <w:ind w:left="765" w:hanging="425"/>
        <w:jc w:val="lowKashida"/>
        <w:rPr>
          <w:rFonts w:ascii="Simplified Arabic" w:hAnsi="Simplified Arabic" w:cs="Simplified Arabic"/>
          <w:sz w:val="24"/>
          <w:szCs w:val="24"/>
          <w:rtl/>
        </w:rPr>
      </w:pPr>
      <w:r w:rsidRPr="00236FEE">
        <w:rPr>
          <w:rFonts w:ascii="Simplified Arabic" w:hAnsi="Simplified Arabic" w:cs="Simplified Arabic"/>
          <w:sz w:val="24"/>
          <w:szCs w:val="24"/>
          <w:rtl/>
        </w:rPr>
        <w:t>محمد عطاالله، استعدادات سلطة النقد الفلسطينية لإصدار عملة وطنية، سلطة النقد الفلسطينية، مقدمة إلى ورشة العمل الدولية حول العملة الفلسطينية، جامعة الخليل،2014.</w:t>
      </w:r>
    </w:p>
    <w:p w:rsidR="001B28C7" w:rsidRPr="00236FEE" w:rsidRDefault="001B28C7" w:rsidP="00624491">
      <w:pPr>
        <w:pStyle w:val="a7"/>
        <w:numPr>
          <w:ilvl w:val="0"/>
          <w:numId w:val="11"/>
        </w:numPr>
        <w:spacing w:after="120" w:line="240" w:lineRule="auto"/>
        <w:ind w:left="765" w:hanging="425"/>
        <w:jc w:val="lowKashida"/>
        <w:rPr>
          <w:rFonts w:ascii="Simplified Arabic" w:hAnsi="Simplified Arabic" w:cs="Simplified Arabic"/>
          <w:sz w:val="24"/>
          <w:szCs w:val="24"/>
        </w:rPr>
      </w:pPr>
      <w:r w:rsidRPr="00236FEE">
        <w:rPr>
          <w:rFonts w:ascii="Simplified Arabic" w:hAnsi="Simplified Arabic" w:cs="Simplified Arabic"/>
          <w:sz w:val="24"/>
          <w:szCs w:val="24"/>
          <w:rtl/>
        </w:rPr>
        <w:t>أسامة حامد، السياسات النقدية في ظل غياب عملة وطنية وفي ظل مجلس عملة في الضفة الغربية وقطاع غزة، ورقة نقاش، ماس، رام الله، فلسطين، 2000.</w:t>
      </w:r>
    </w:p>
    <w:p w:rsidR="001B28C7" w:rsidRPr="00236FEE" w:rsidRDefault="001B28C7" w:rsidP="00624491">
      <w:pPr>
        <w:pStyle w:val="a7"/>
        <w:numPr>
          <w:ilvl w:val="0"/>
          <w:numId w:val="11"/>
        </w:numPr>
        <w:spacing w:after="120" w:line="240" w:lineRule="auto"/>
        <w:ind w:left="765" w:hanging="425"/>
        <w:jc w:val="lowKashida"/>
        <w:rPr>
          <w:rFonts w:ascii="Simplified Arabic" w:hAnsi="Simplified Arabic" w:cs="Simplified Arabic"/>
          <w:sz w:val="24"/>
          <w:szCs w:val="24"/>
        </w:rPr>
      </w:pPr>
      <w:r w:rsidRPr="00236FEE">
        <w:rPr>
          <w:rFonts w:ascii="Simplified Arabic" w:hAnsi="Simplified Arabic" w:cs="Simplified Arabic"/>
          <w:sz w:val="24"/>
          <w:szCs w:val="24"/>
          <w:rtl/>
        </w:rPr>
        <w:t>الجهاز المركزي للإحصاء الفلسطيني، مسح القوى العاملة الفلسطينية</w:t>
      </w:r>
      <w:r w:rsidRPr="00236FEE">
        <w:rPr>
          <w:rFonts w:ascii="Simplified Arabic" w:hAnsi="Simplified Arabic" w:cs="Simplified Arabic"/>
          <w:sz w:val="24"/>
          <w:szCs w:val="24"/>
        </w:rPr>
        <w:t xml:space="preserve">: </w:t>
      </w:r>
      <w:r w:rsidRPr="00236FEE">
        <w:rPr>
          <w:rFonts w:ascii="Simplified Arabic" w:hAnsi="Simplified Arabic" w:cs="Simplified Arabic"/>
          <w:sz w:val="24"/>
          <w:szCs w:val="24"/>
          <w:rtl/>
        </w:rPr>
        <w:t xml:space="preserve"> التقرير السنوي 2014، رام الله، فلسطين، 2015.</w:t>
      </w:r>
    </w:p>
    <w:p w:rsidR="001B28C7" w:rsidRPr="00236FEE" w:rsidRDefault="001B28C7" w:rsidP="00624491">
      <w:pPr>
        <w:pStyle w:val="a7"/>
        <w:numPr>
          <w:ilvl w:val="0"/>
          <w:numId w:val="11"/>
        </w:numPr>
        <w:spacing w:after="120" w:line="240" w:lineRule="auto"/>
        <w:ind w:left="765" w:hanging="425"/>
        <w:jc w:val="lowKashida"/>
        <w:rPr>
          <w:rFonts w:ascii="Simplified Arabic" w:hAnsi="Simplified Arabic" w:cs="Simplified Arabic"/>
          <w:sz w:val="24"/>
          <w:szCs w:val="24"/>
        </w:rPr>
      </w:pPr>
      <w:proofErr w:type="spellStart"/>
      <w:r w:rsidRPr="00236FEE">
        <w:rPr>
          <w:rFonts w:ascii="Simplified Arabic" w:hAnsi="Simplified Arabic" w:cs="Simplified Arabic"/>
          <w:sz w:val="24"/>
          <w:szCs w:val="24"/>
          <w:rtl/>
        </w:rPr>
        <w:t>الأونكتاد</w:t>
      </w:r>
      <w:proofErr w:type="spellEnd"/>
      <w:r w:rsidRPr="00236FEE">
        <w:rPr>
          <w:rFonts w:ascii="Simplified Arabic" w:hAnsi="Simplified Arabic" w:cs="Simplified Arabic"/>
          <w:sz w:val="24"/>
          <w:szCs w:val="24"/>
          <w:rtl/>
        </w:rPr>
        <w:t xml:space="preserve">، سياسات بديلة للتنمية الفلسطينية المستدامة وتكوين الدولة، نيويورك وجنيف، 2009. </w:t>
      </w:r>
    </w:p>
    <w:p w:rsidR="001B28C7" w:rsidRPr="00236FEE" w:rsidRDefault="001B28C7" w:rsidP="00624491">
      <w:pPr>
        <w:pStyle w:val="a7"/>
        <w:numPr>
          <w:ilvl w:val="0"/>
          <w:numId w:val="11"/>
        </w:numPr>
        <w:spacing w:after="120" w:line="240" w:lineRule="auto"/>
        <w:ind w:left="765" w:hanging="425"/>
        <w:jc w:val="lowKashida"/>
        <w:rPr>
          <w:rFonts w:ascii="Simplified Arabic" w:hAnsi="Simplified Arabic" w:cs="Simplified Arabic"/>
          <w:sz w:val="24"/>
          <w:szCs w:val="24"/>
        </w:rPr>
      </w:pPr>
      <w:proofErr w:type="spellStart"/>
      <w:r w:rsidRPr="00236FEE">
        <w:rPr>
          <w:rFonts w:ascii="Simplified Arabic" w:hAnsi="Simplified Arabic" w:cs="Simplified Arabic"/>
          <w:sz w:val="24"/>
          <w:szCs w:val="24"/>
          <w:rtl/>
        </w:rPr>
        <w:t>الأونكتاد</w:t>
      </w:r>
      <w:proofErr w:type="spellEnd"/>
      <w:r w:rsidRPr="00236FEE">
        <w:rPr>
          <w:rFonts w:ascii="Simplified Arabic" w:hAnsi="Simplified Arabic" w:cs="Simplified Arabic"/>
          <w:sz w:val="24"/>
          <w:szCs w:val="24"/>
          <w:rtl/>
        </w:rPr>
        <w:t xml:space="preserve">، تسرب الإيرادات المالية الفلسطينية إلى إسرائيل في ظل بروتوكول باريس الاقتصادي، نيويورك وجنيف، </w:t>
      </w:r>
      <w:r w:rsidRPr="00236FEE">
        <w:rPr>
          <w:rFonts w:ascii="Simplified Arabic" w:hAnsi="Simplified Arabic" w:cs="Simplified Arabic"/>
          <w:sz w:val="24"/>
          <w:szCs w:val="24"/>
        </w:rPr>
        <w:t>2014a</w:t>
      </w:r>
      <w:r w:rsidRPr="00236FEE">
        <w:rPr>
          <w:rFonts w:ascii="Simplified Arabic" w:hAnsi="Simplified Arabic" w:cs="Simplified Arabic"/>
          <w:sz w:val="24"/>
          <w:szCs w:val="24"/>
          <w:rtl/>
        </w:rPr>
        <w:t xml:space="preserve">. </w:t>
      </w:r>
    </w:p>
    <w:p w:rsidR="001B28C7" w:rsidRPr="00236FEE" w:rsidRDefault="001B28C7" w:rsidP="00624491">
      <w:pPr>
        <w:pStyle w:val="a7"/>
        <w:numPr>
          <w:ilvl w:val="0"/>
          <w:numId w:val="11"/>
        </w:numPr>
        <w:spacing w:after="120" w:line="240" w:lineRule="auto"/>
        <w:ind w:left="765" w:hanging="425"/>
        <w:jc w:val="lowKashida"/>
        <w:rPr>
          <w:rFonts w:ascii="Simplified Arabic" w:hAnsi="Simplified Arabic" w:cs="Simplified Arabic"/>
          <w:sz w:val="24"/>
          <w:szCs w:val="24"/>
        </w:rPr>
      </w:pPr>
      <w:proofErr w:type="spellStart"/>
      <w:r w:rsidRPr="00236FEE">
        <w:rPr>
          <w:rFonts w:ascii="Simplified Arabic" w:hAnsi="Simplified Arabic" w:cs="Simplified Arabic"/>
          <w:sz w:val="24"/>
          <w:szCs w:val="24"/>
          <w:rtl/>
        </w:rPr>
        <w:t>الأونكتاد</w:t>
      </w:r>
      <w:proofErr w:type="spellEnd"/>
      <w:r w:rsidRPr="00236FEE">
        <w:rPr>
          <w:rFonts w:ascii="Simplified Arabic" w:hAnsi="Simplified Arabic" w:cs="Simplified Arabic"/>
          <w:sz w:val="24"/>
          <w:szCs w:val="24"/>
          <w:rtl/>
        </w:rPr>
        <w:t xml:space="preserve">، تقرير عن المساعدة المقدمة من </w:t>
      </w:r>
      <w:proofErr w:type="spellStart"/>
      <w:r w:rsidRPr="00236FEE">
        <w:rPr>
          <w:rFonts w:ascii="Simplified Arabic" w:hAnsi="Simplified Arabic" w:cs="Simplified Arabic"/>
          <w:sz w:val="24"/>
          <w:szCs w:val="24"/>
          <w:rtl/>
        </w:rPr>
        <w:t>الأونكتاد</w:t>
      </w:r>
      <w:proofErr w:type="spellEnd"/>
      <w:r w:rsidRPr="00236FEE">
        <w:rPr>
          <w:rFonts w:ascii="Simplified Arabic" w:hAnsi="Simplified Arabic" w:cs="Simplified Arabic"/>
          <w:sz w:val="24"/>
          <w:szCs w:val="24"/>
          <w:rtl/>
        </w:rPr>
        <w:t xml:space="preserve"> إلى الشعب الفلسطيني</w:t>
      </w:r>
      <w:r w:rsidRPr="00236FEE">
        <w:rPr>
          <w:rFonts w:ascii="Simplified Arabic" w:hAnsi="Simplified Arabic" w:cs="Simplified Arabic"/>
          <w:sz w:val="24"/>
          <w:szCs w:val="24"/>
        </w:rPr>
        <w:t xml:space="preserve"> :</w:t>
      </w:r>
      <w:r w:rsidRPr="00236FEE">
        <w:rPr>
          <w:rFonts w:ascii="Simplified Arabic" w:hAnsi="Simplified Arabic" w:cs="Simplified Arabic"/>
          <w:sz w:val="24"/>
          <w:szCs w:val="24"/>
          <w:rtl/>
        </w:rPr>
        <w:t xml:space="preserve"> التطورات التي شهدها اقتصاد الأرض الفلسطينية المحتلة، جنيف، </w:t>
      </w:r>
      <w:r w:rsidRPr="00236FEE">
        <w:rPr>
          <w:rFonts w:ascii="Simplified Arabic" w:hAnsi="Simplified Arabic" w:cs="Simplified Arabic"/>
          <w:sz w:val="24"/>
          <w:szCs w:val="24"/>
        </w:rPr>
        <w:t>2012b</w:t>
      </w:r>
      <w:r w:rsidRPr="00236FEE">
        <w:rPr>
          <w:rFonts w:ascii="Simplified Arabic" w:hAnsi="Simplified Arabic" w:cs="Simplified Arabic"/>
          <w:sz w:val="24"/>
          <w:szCs w:val="24"/>
          <w:rtl/>
        </w:rPr>
        <w:t xml:space="preserve">. </w:t>
      </w:r>
    </w:p>
    <w:p w:rsidR="001B28C7" w:rsidRPr="00236FEE" w:rsidRDefault="001B28C7" w:rsidP="00624491">
      <w:pPr>
        <w:pStyle w:val="a7"/>
        <w:numPr>
          <w:ilvl w:val="0"/>
          <w:numId w:val="11"/>
        </w:numPr>
        <w:spacing w:after="120" w:line="240" w:lineRule="auto"/>
        <w:ind w:left="765" w:hanging="425"/>
        <w:jc w:val="lowKashida"/>
        <w:rPr>
          <w:rFonts w:ascii="Simplified Arabic" w:hAnsi="Simplified Arabic" w:cs="Simplified Arabic"/>
          <w:sz w:val="24"/>
          <w:szCs w:val="24"/>
        </w:rPr>
      </w:pPr>
      <w:proofErr w:type="spellStart"/>
      <w:r w:rsidRPr="00236FEE">
        <w:rPr>
          <w:rFonts w:ascii="Simplified Arabic" w:hAnsi="Simplified Arabic" w:cs="Simplified Arabic"/>
          <w:sz w:val="24"/>
          <w:szCs w:val="24"/>
          <w:rtl/>
        </w:rPr>
        <w:lastRenderedPageBreak/>
        <w:t>الأونكتاد</w:t>
      </w:r>
      <w:proofErr w:type="spellEnd"/>
      <w:r w:rsidRPr="00236FEE">
        <w:rPr>
          <w:rFonts w:ascii="Simplified Arabic" w:hAnsi="Simplified Arabic" w:cs="Simplified Arabic"/>
          <w:sz w:val="24"/>
          <w:szCs w:val="24"/>
          <w:rtl/>
        </w:rPr>
        <w:t xml:space="preserve">، تقرير عن المساعدة المقدمة من </w:t>
      </w:r>
      <w:proofErr w:type="spellStart"/>
      <w:r w:rsidRPr="00236FEE">
        <w:rPr>
          <w:rFonts w:ascii="Simplified Arabic" w:hAnsi="Simplified Arabic" w:cs="Simplified Arabic"/>
          <w:sz w:val="24"/>
          <w:szCs w:val="24"/>
          <w:rtl/>
        </w:rPr>
        <w:t>الأونكتاد</w:t>
      </w:r>
      <w:proofErr w:type="spellEnd"/>
      <w:r w:rsidRPr="00236FEE">
        <w:rPr>
          <w:rFonts w:ascii="Simplified Arabic" w:hAnsi="Simplified Arabic" w:cs="Simplified Arabic"/>
          <w:sz w:val="24"/>
          <w:szCs w:val="24"/>
          <w:rtl/>
        </w:rPr>
        <w:t xml:space="preserve"> إلى الشعب الفلسطيني</w:t>
      </w:r>
      <w:r w:rsidRPr="00236FEE">
        <w:rPr>
          <w:rFonts w:ascii="Simplified Arabic" w:hAnsi="Simplified Arabic" w:cs="Simplified Arabic"/>
          <w:sz w:val="24"/>
          <w:szCs w:val="24"/>
        </w:rPr>
        <w:t xml:space="preserve"> :</w:t>
      </w:r>
      <w:r w:rsidRPr="00236FEE">
        <w:rPr>
          <w:rFonts w:ascii="Simplified Arabic" w:hAnsi="Simplified Arabic" w:cs="Simplified Arabic"/>
          <w:sz w:val="24"/>
          <w:szCs w:val="24"/>
          <w:rtl/>
        </w:rPr>
        <w:t xml:space="preserve"> التطورات التي شهدها اقتصاد الأرض الفلسطينية المحتلة، جنيف، </w:t>
      </w:r>
      <w:r w:rsidRPr="00236FEE">
        <w:rPr>
          <w:rFonts w:ascii="Simplified Arabic" w:hAnsi="Simplified Arabic" w:cs="Simplified Arabic"/>
          <w:sz w:val="24"/>
          <w:szCs w:val="24"/>
        </w:rPr>
        <w:t>2011</w:t>
      </w:r>
      <w:r w:rsidRPr="00236FEE">
        <w:rPr>
          <w:rFonts w:ascii="Simplified Arabic" w:hAnsi="Simplified Arabic" w:cs="Simplified Arabic"/>
          <w:sz w:val="24"/>
          <w:szCs w:val="24"/>
          <w:rtl/>
        </w:rPr>
        <w:t xml:space="preserve">. </w:t>
      </w:r>
    </w:p>
    <w:p w:rsidR="001B28C7" w:rsidRPr="00236FEE" w:rsidRDefault="001B28C7" w:rsidP="00624491">
      <w:pPr>
        <w:pStyle w:val="a7"/>
        <w:numPr>
          <w:ilvl w:val="0"/>
          <w:numId w:val="11"/>
        </w:numPr>
        <w:spacing w:after="120" w:line="240" w:lineRule="auto"/>
        <w:ind w:left="765" w:hanging="425"/>
        <w:jc w:val="lowKashida"/>
        <w:rPr>
          <w:rFonts w:ascii="Simplified Arabic" w:hAnsi="Simplified Arabic" w:cs="Simplified Arabic"/>
          <w:sz w:val="24"/>
          <w:szCs w:val="24"/>
        </w:rPr>
      </w:pPr>
      <w:proofErr w:type="spellStart"/>
      <w:r w:rsidRPr="00236FEE">
        <w:rPr>
          <w:rFonts w:ascii="Simplified Arabic" w:hAnsi="Simplified Arabic" w:cs="Simplified Arabic"/>
          <w:sz w:val="24"/>
          <w:szCs w:val="24"/>
          <w:rtl/>
        </w:rPr>
        <w:t>الأنكتاد</w:t>
      </w:r>
      <w:proofErr w:type="spellEnd"/>
      <w:r w:rsidRPr="00236FEE">
        <w:rPr>
          <w:rFonts w:ascii="Simplified Arabic" w:hAnsi="Simplified Arabic" w:cs="Simplified Arabic"/>
          <w:sz w:val="24"/>
          <w:szCs w:val="24"/>
          <w:rtl/>
        </w:rPr>
        <w:t xml:space="preserve">، الاقتصاد الفلسطيني: وضع سياسات الاقتصاد الكلي والتجارة في ظل الاحتلال، نيويورك وجنيف، </w:t>
      </w:r>
      <w:r w:rsidRPr="00236FEE">
        <w:rPr>
          <w:rFonts w:ascii="Simplified Arabic" w:hAnsi="Simplified Arabic" w:cs="Simplified Arabic"/>
          <w:sz w:val="24"/>
          <w:szCs w:val="24"/>
        </w:rPr>
        <w:t>2012a</w:t>
      </w:r>
      <w:r w:rsidRPr="00236FEE">
        <w:rPr>
          <w:rFonts w:ascii="Simplified Arabic" w:hAnsi="Simplified Arabic" w:cs="Simplified Arabic"/>
          <w:sz w:val="24"/>
          <w:szCs w:val="24"/>
          <w:rtl/>
        </w:rPr>
        <w:t>.</w:t>
      </w:r>
    </w:p>
    <w:p w:rsidR="001B28C7" w:rsidRPr="00236FEE" w:rsidRDefault="001B28C7" w:rsidP="00624491">
      <w:pPr>
        <w:pStyle w:val="a7"/>
        <w:numPr>
          <w:ilvl w:val="0"/>
          <w:numId w:val="11"/>
        </w:numPr>
        <w:spacing w:after="120" w:line="240" w:lineRule="auto"/>
        <w:ind w:left="765" w:hanging="425"/>
        <w:jc w:val="lowKashida"/>
        <w:rPr>
          <w:rFonts w:ascii="Simplified Arabic" w:hAnsi="Simplified Arabic" w:cs="Simplified Arabic"/>
          <w:sz w:val="24"/>
          <w:szCs w:val="24"/>
        </w:rPr>
      </w:pPr>
      <w:r w:rsidRPr="00236FEE">
        <w:rPr>
          <w:rFonts w:ascii="Simplified Arabic" w:hAnsi="Simplified Arabic" w:cs="Simplified Arabic"/>
          <w:sz w:val="24"/>
          <w:szCs w:val="24"/>
          <w:rtl/>
        </w:rPr>
        <w:t xml:space="preserve">أحمد </w:t>
      </w:r>
      <w:proofErr w:type="spellStart"/>
      <w:r w:rsidRPr="00236FEE">
        <w:rPr>
          <w:rFonts w:ascii="Simplified Arabic" w:hAnsi="Simplified Arabic" w:cs="Simplified Arabic"/>
          <w:sz w:val="24"/>
          <w:szCs w:val="24"/>
          <w:rtl/>
        </w:rPr>
        <w:t>قباجة</w:t>
      </w:r>
      <w:proofErr w:type="spellEnd"/>
      <w:r w:rsidRPr="00236FEE">
        <w:rPr>
          <w:rFonts w:ascii="Simplified Arabic" w:hAnsi="Simplified Arabic" w:cs="Simplified Arabic"/>
          <w:sz w:val="24"/>
          <w:szCs w:val="24"/>
          <w:rtl/>
        </w:rPr>
        <w:t>، الاستدامة المالية للسلطة الوطنية الفلسطينية: التجربة التاريخية والآفاق المستقبلية، معهد أبحاث السياسات الاقتصادية الفلسطيني(ماس)، رام الله، فلسطين،2012</w:t>
      </w:r>
      <w:r w:rsidRPr="00236FEE">
        <w:rPr>
          <w:rFonts w:ascii="Simplified Arabic" w:hAnsi="Simplified Arabic" w:cs="Simplified Arabic"/>
          <w:sz w:val="24"/>
          <w:szCs w:val="24"/>
        </w:rPr>
        <w:t>.</w:t>
      </w:r>
    </w:p>
    <w:p w:rsidR="001B28C7" w:rsidRPr="00236FEE" w:rsidRDefault="001B28C7" w:rsidP="00624491">
      <w:pPr>
        <w:pStyle w:val="a7"/>
        <w:numPr>
          <w:ilvl w:val="0"/>
          <w:numId w:val="11"/>
        </w:numPr>
        <w:spacing w:after="120" w:line="240" w:lineRule="auto"/>
        <w:ind w:left="765" w:hanging="425"/>
        <w:jc w:val="lowKashida"/>
        <w:rPr>
          <w:rFonts w:ascii="Simplified Arabic" w:hAnsi="Simplified Arabic" w:cs="Simplified Arabic"/>
          <w:sz w:val="24"/>
          <w:szCs w:val="24"/>
          <w:lang w:bidi="ar-IQ"/>
        </w:rPr>
      </w:pPr>
      <w:r w:rsidRPr="00236FEE">
        <w:rPr>
          <w:rFonts w:ascii="Simplified Arabic" w:hAnsi="Simplified Arabic" w:cs="Simplified Arabic"/>
          <w:sz w:val="24"/>
          <w:szCs w:val="24"/>
          <w:rtl/>
        </w:rPr>
        <w:t>محمود عيسى، الاختلالات الهيكلية في سوق العمل الفلسطيني وسبل معالجتها، رسالة ماجستير غير منشورة، جامعة الأزهر، غزة، فلسطين، 2013.</w:t>
      </w:r>
    </w:p>
    <w:p w:rsidR="001B28C7" w:rsidRPr="00236FEE" w:rsidRDefault="001B28C7" w:rsidP="00624491">
      <w:pPr>
        <w:pStyle w:val="a7"/>
        <w:numPr>
          <w:ilvl w:val="0"/>
          <w:numId w:val="11"/>
        </w:numPr>
        <w:spacing w:after="120" w:line="240" w:lineRule="auto"/>
        <w:ind w:left="765" w:hanging="425"/>
        <w:jc w:val="lowKashida"/>
        <w:rPr>
          <w:rFonts w:ascii="Simplified Arabic" w:hAnsi="Simplified Arabic" w:cs="Simplified Arabic"/>
          <w:sz w:val="24"/>
          <w:szCs w:val="24"/>
          <w:lang w:bidi="ar-IQ"/>
        </w:rPr>
      </w:pPr>
      <w:r w:rsidRPr="00236FEE">
        <w:rPr>
          <w:rFonts w:ascii="Simplified Arabic" w:hAnsi="Simplified Arabic" w:cs="Simplified Arabic"/>
          <w:sz w:val="24"/>
          <w:szCs w:val="24"/>
          <w:rtl/>
        </w:rPr>
        <w:t xml:space="preserve"> بروتوكول باريس الاقتصادي.</w:t>
      </w:r>
    </w:p>
    <w:p w:rsidR="001B28C7" w:rsidRPr="00236FEE" w:rsidRDefault="001B28C7" w:rsidP="00624491">
      <w:pPr>
        <w:pStyle w:val="a7"/>
        <w:numPr>
          <w:ilvl w:val="0"/>
          <w:numId w:val="11"/>
        </w:numPr>
        <w:spacing w:after="120" w:line="240" w:lineRule="auto"/>
        <w:ind w:left="765" w:hanging="425"/>
        <w:jc w:val="lowKashida"/>
        <w:rPr>
          <w:rFonts w:ascii="Simplified Arabic" w:hAnsi="Simplified Arabic" w:cs="Simplified Arabic"/>
          <w:sz w:val="24"/>
          <w:szCs w:val="24"/>
          <w:lang w:bidi="ar-IQ"/>
        </w:rPr>
      </w:pPr>
      <w:r w:rsidRPr="00236FEE">
        <w:rPr>
          <w:rFonts w:ascii="Simplified Arabic" w:hAnsi="Simplified Arabic" w:cs="Simplified Arabic"/>
          <w:sz w:val="24"/>
          <w:szCs w:val="24"/>
          <w:rtl/>
          <w:lang w:bidi="ar-IQ"/>
        </w:rPr>
        <w:t xml:space="preserve"> الأمم المتحدة وبرنامج الأغذية العالمي، بين الجدار والسندان، تقرير خاص، آب 2010. </w:t>
      </w:r>
    </w:p>
    <w:p w:rsidR="001B28C7" w:rsidRPr="00236FEE" w:rsidRDefault="001B28C7" w:rsidP="00624491">
      <w:pPr>
        <w:pStyle w:val="a7"/>
        <w:numPr>
          <w:ilvl w:val="0"/>
          <w:numId w:val="11"/>
        </w:numPr>
        <w:spacing w:after="120" w:line="240" w:lineRule="auto"/>
        <w:ind w:left="765" w:hanging="425"/>
        <w:jc w:val="lowKashida"/>
        <w:rPr>
          <w:rFonts w:ascii="Simplified Arabic" w:hAnsi="Simplified Arabic" w:cs="Simplified Arabic"/>
          <w:sz w:val="24"/>
          <w:szCs w:val="24"/>
          <w:lang w:bidi="ar-IQ"/>
        </w:rPr>
      </w:pPr>
      <w:r w:rsidRPr="00236FEE">
        <w:rPr>
          <w:rFonts w:ascii="Simplified Arabic" w:hAnsi="Simplified Arabic" w:cs="Simplified Arabic"/>
          <w:sz w:val="24"/>
          <w:szCs w:val="24"/>
          <w:rtl/>
          <w:lang w:bidi="ar-IQ"/>
        </w:rPr>
        <w:t xml:space="preserve"> مجلة آفاق بيئية :</w:t>
      </w:r>
    </w:p>
    <w:p w:rsidR="001B28C7" w:rsidRPr="00236FEE" w:rsidRDefault="001B28C7" w:rsidP="00624491">
      <w:pPr>
        <w:spacing w:after="120" w:line="240" w:lineRule="auto"/>
        <w:ind w:left="765" w:hanging="425"/>
        <w:jc w:val="lowKashida"/>
        <w:rPr>
          <w:rFonts w:ascii="Simplified Arabic" w:hAnsi="Simplified Arabic" w:cs="Simplified Arabic"/>
          <w:sz w:val="24"/>
          <w:szCs w:val="24"/>
          <w:rtl/>
          <w:lang w:bidi="ar-IQ"/>
        </w:rPr>
      </w:pPr>
      <w:r w:rsidRPr="00236FEE">
        <w:rPr>
          <w:rFonts w:ascii="Simplified Arabic" w:hAnsi="Simplified Arabic" w:cs="Simplified Arabic"/>
          <w:sz w:val="24"/>
          <w:szCs w:val="24"/>
          <w:lang w:bidi="ar-IQ"/>
        </w:rPr>
        <w:t>http://www.maan-ctr.org/magazine/ar_print.php?id=14e56y85590Y14e56</w:t>
      </w:r>
    </w:p>
    <w:p w:rsidR="001B28C7" w:rsidRPr="00236FEE" w:rsidRDefault="001B28C7" w:rsidP="00624491">
      <w:pPr>
        <w:pStyle w:val="a7"/>
        <w:numPr>
          <w:ilvl w:val="0"/>
          <w:numId w:val="11"/>
        </w:numPr>
        <w:spacing w:after="120" w:line="240" w:lineRule="auto"/>
        <w:ind w:left="765" w:hanging="425"/>
        <w:jc w:val="lowKashida"/>
        <w:rPr>
          <w:rFonts w:ascii="Simplified Arabic" w:hAnsi="Simplified Arabic" w:cs="Simplified Arabic"/>
          <w:sz w:val="24"/>
          <w:szCs w:val="24"/>
          <w:lang w:bidi="ar-IQ"/>
        </w:rPr>
      </w:pPr>
      <w:r w:rsidRPr="00236FEE">
        <w:rPr>
          <w:rFonts w:ascii="Simplified Arabic" w:hAnsi="Simplified Arabic" w:cs="Simplified Arabic"/>
          <w:sz w:val="24"/>
          <w:szCs w:val="24"/>
          <w:rtl/>
          <w:lang w:bidi="ar-IQ"/>
        </w:rPr>
        <w:t>البنك الدولي، الضفة الغربية وقطاع غزة المنطقة ج ومستقبل الاقتصاد الفلسطيني، رقم التقرير</w:t>
      </w:r>
      <w:r w:rsidRPr="00236FEE">
        <w:rPr>
          <w:rFonts w:ascii="Simplified Arabic" w:hAnsi="Simplified Arabic" w:cs="Simplified Arabic"/>
          <w:sz w:val="24"/>
          <w:szCs w:val="24"/>
          <w:lang w:bidi="ar-IQ"/>
        </w:rPr>
        <w:t xml:space="preserve"> AUS2922</w:t>
      </w:r>
      <w:r w:rsidRPr="00236FEE">
        <w:rPr>
          <w:rFonts w:ascii="Simplified Arabic" w:hAnsi="Simplified Arabic" w:cs="Simplified Arabic"/>
          <w:sz w:val="24"/>
          <w:szCs w:val="24"/>
          <w:rtl/>
          <w:lang w:bidi="ar-IQ"/>
        </w:rPr>
        <w:t xml:space="preserve">، أكتوبر </w:t>
      </w:r>
      <w:r w:rsidRPr="00236FEE">
        <w:rPr>
          <w:rFonts w:ascii="Simplified Arabic" w:hAnsi="Simplified Arabic" w:cs="Simplified Arabic"/>
          <w:sz w:val="24"/>
          <w:szCs w:val="24"/>
          <w:lang w:bidi="ar-IQ"/>
        </w:rPr>
        <w:t>.2013,2</w:t>
      </w:r>
    </w:p>
    <w:p w:rsidR="001B28C7" w:rsidRPr="00236FEE" w:rsidRDefault="001B28C7" w:rsidP="00624491">
      <w:pPr>
        <w:pStyle w:val="a7"/>
        <w:numPr>
          <w:ilvl w:val="0"/>
          <w:numId w:val="11"/>
        </w:numPr>
        <w:spacing w:after="120" w:line="240" w:lineRule="auto"/>
        <w:ind w:left="765" w:hanging="425"/>
        <w:jc w:val="lowKashida"/>
        <w:rPr>
          <w:rFonts w:ascii="Simplified Arabic" w:hAnsi="Simplified Arabic" w:cs="Simplified Arabic"/>
          <w:sz w:val="24"/>
          <w:szCs w:val="24"/>
          <w:lang w:bidi="ar-IQ"/>
        </w:rPr>
      </w:pPr>
      <w:r w:rsidRPr="00236FEE">
        <w:rPr>
          <w:rFonts w:ascii="Simplified Arabic" w:hAnsi="Simplified Arabic" w:cs="Simplified Arabic"/>
          <w:sz w:val="24"/>
          <w:szCs w:val="24"/>
          <w:rtl/>
          <w:lang w:bidi="ar-IQ"/>
        </w:rPr>
        <w:t>محمد مصطفى، البترول والغاز الطبيعي في فلسطين: الإمكانات والمعوقات، مجلة الدراسات الفلسطينية، مجلد26، عدد102، بيروت، لبنان، 2015.</w:t>
      </w:r>
    </w:p>
    <w:p w:rsidR="001B28C7" w:rsidRPr="00236FEE" w:rsidRDefault="001B28C7" w:rsidP="00624491">
      <w:pPr>
        <w:pStyle w:val="a7"/>
        <w:numPr>
          <w:ilvl w:val="0"/>
          <w:numId w:val="11"/>
        </w:numPr>
        <w:spacing w:after="120" w:line="240" w:lineRule="auto"/>
        <w:ind w:left="765" w:hanging="425"/>
        <w:jc w:val="lowKashida"/>
        <w:rPr>
          <w:rFonts w:ascii="Simplified Arabic" w:hAnsi="Simplified Arabic" w:cs="Simplified Arabic"/>
          <w:sz w:val="24"/>
          <w:szCs w:val="24"/>
          <w:lang w:bidi="ar-IQ"/>
        </w:rPr>
      </w:pPr>
      <w:r w:rsidRPr="00236FEE">
        <w:rPr>
          <w:rFonts w:ascii="Simplified Arabic" w:hAnsi="Simplified Arabic" w:cs="Simplified Arabic"/>
          <w:sz w:val="24"/>
          <w:szCs w:val="24"/>
          <w:rtl/>
          <w:lang w:bidi="ar-IQ"/>
        </w:rPr>
        <w:t>وليد خوري، احتياطي الغاز الطبيعي في المياه الإقليمية الفلسطينية: الإمكانات والتحديات، مجلة الدراسات الفلسطينية، مجلد18، عدد72، بيروت، لبنان، 2007.</w:t>
      </w:r>
    </w:p>
    <w:p w:rsidR="001B28C7" w:rsidRPr="00236FEE" w:rsidRDefault="001B28C7" w:rsidP="00624491">
      <w:pPr>
        <w:pStyle w:val="a7"/>
        <w:numPr>
          <w:ilvl w:val="0"/>
          <w:numId w:val="11"/>
        </w:numPr>
        <w:spacing w:after="120" w:line="240" w:lineRule="auto"/>
        <w:ind w:left="765" w:hanging="425"/>
        <w:jc w:val="lowKashida"/>
        <w:rPr>
          <w:rFonts w:ascii="Simplified Arabic" w:hAnsi="Simplified Arabic" w:cs="Simplified Arabic"/>
          <w:sz w:val="24"/>
          <w:szCs w:val="24"/>
          <w:lang w:bidi="ar-IQ"/>
        </w:rPr>
      </w:pPr>
      <w:r w:rsidRPr="00236FEE">
        <w:rPr>
          <w:rFonts w:ascii="Simplified Arabic" w:hAnsi="Simplified Arabic" w:cs="Simplified Arabic"/>
          <w:sz w:val="24"/>
          <w:szCs w:val="24"/>
          <w:rtl/>
        </w:rPr>
        <w:t xml:space="preserve">أيمن فواضلة, سياسات التنمية الاجتماعية الشاملة: المضمون والآليات (تجربة دولة فلسطين), ورقة بحثية مقدمة في اجتماع فريق الخبراء حول " التنمية الاجتماعية الشاملة في المنطقة العربية", بيروت </w:t>
      </w:r>
      <w:r w:rsidRPr="00236FEE">
        <w:rPr>
          <w:rFonts w:ascii="Simplified Arabic" w:hAnsi="Simplified Arabic" w:cs="Simplified Arabic"/>
          <w:sz w:val="24"/>
          <w:szCs w:val="24"/>
        </w:rPr>
        <w:t>5-4</w:t>
      </w:r>
      <w:r w:rsidRPr="00236FEE">
        <w:rPr>
          <w:rFonts w:ascii="Simplified Arabic" w:hAnsi="Simplified Arabic" w:cs="Simplified Arabic"/>
          <w:sz w:val="24"/>
          <w:szCs w:val="24"/>
          <w:rtl/>
        </w:rPr>
        <w:t xml:space="preserve"> تشرين الثاني </w:t>
      </w:r>
      <w:r w:rsidRPr="00236FEE">
        <w:rPr>
          <w:rFonts w:ascii="Simplified Arabic" w:hAnsi="Simplified Arabic" w:cs="Simplified Arabic"/>
          <w:sz w:val="24"/>
          <w:szCs w:val="24"/>
        </w:rPr>
        <w:t>2014</w:t>
      </w:r>
      <w:r w:rsidRPr="00236FEE">
        <w:rPr>
          <w:rFonts w:ascii="Simplified Arabic" w:hAnsi="Simplified Arabic" w:cs="Simplified Arabic"/>
          <w:sz w:val="24"/>
          <w:szCs w:val="24"/>
          <w:rtl/>
        </w:rPr>
        <w:t>.</w:t>
      </w:r>
    </w:p>
    <w:p w:rsidR="001B28C7" w:rsidRPr="00236FEE" w:rsidRDefault="001B28C7" w:rsidP="00624491">
      <w:pPr>
        <w:pStyle w:val="a7"/>
        <w:numPr>
          <w:ilvl w:val="0"/>
          <w:numId w:val="11"/>
        </w:numPr>
        <w:spacing w:after="120" w:line="240" w:lineRule="auto"/>
        <w:ind w:left="765" w:hanging="425"/>
        <w:jc w:val="lowKashida"/>
        <w:rPr>
          <w:rFonts w:ascii="Simplified Arabic" w:hAnsi="Simplified Arabic" w:cs="Simplified Arabic"/>
          <w:sz w:val="24"/>
          <w:szCs w:val="24"/>
          <w:lang w:bidi="ar-IQ"/>
        </w:rPr>
      </w:pPr>
      <w:r w:rsidRPr="00236FEE">
        <w:rPr>
          <w:rFonts w:ascii="Simplified Arabic" w:hAnsi="Simplified Arabic" w:cs="Simplified Arabic"/>
          <w:sz w:val="24"/>
          <w:szCs w:val="24"/>
          <w:rtl/>
        </w:rPr>
        <w:lastRenderedPageBreak/>
        <w:t xml:space="preserve">نصر عبد الكريم, العلاقات الأوروبية الفلسطينية: الدور الاقتصادي الأوروبي, ورقة بحثية مقدمة إلى مؤتمر السياسات الخارجية الأوروبية تجاه القضية الفلسطينية, مركز الزيتونة للدراسات والاستشارات, بيروت – لبنان, </w:t>
      </w:r>
      <w:r w:rsidRPr="00236FEE">
        <w:rPr>
          <w:rFonts w:ascii="Simplified Arabic" w:hAnsi="Simplified Arabic" w:cs="Simplified Arabic"/>
          <w:sz w:val="24"/>
          <w:szCs w:val="24"/>
        </w:rPr>
        <w:t>2010</w:t>
      </w:r>
      <w:r w:rsidRPr="00236FEE">
        <w:rPr>
          <w:rFonts w:ascii="Simplified Arabic" w:hAnsi="Simplified Arabic" w:cs="Simplified Arabic"/>
          <w:sz w:val="24"/>
          <w:szCs w:val="24"/>
          <w:rtl/>
        </w:rPr>
        <w:t>.</w:t>
      </w:r>
    </w:p>
    <w:p w:rsidR="001B28C7" w:rsidRPr="00236FEE" w:rsidRDefault="001B28C7" w:rsidP="00624491">
      <w:pPr>
        <w:pStyle w:val="a7"/>
        <w:numPr>
          <w:ilvl w:val="0"/>
          <w:numId w:val="11"/>
        </w:numPr>
        <w:spacing w:after="120" w:line="240" w:lineRule="auto"/>
        <w:ind w:left="765" w:hanging="425"/>
        <w:jc w:val="lowKashida"/>
        <w:rPr>
          <w:rFonts w:ascii="Simplified Arabic" w:hAnsi="Simplified Arabic" w:cs="Simplified Arabic"/>
          <w:sz w:val="24"/>
          <w:szCs w:val="24"/>
          <w:lang w:bidi="ar-IQ"/>
        </w:rPr>
      </w:pPr>
      <w:r w:rsidRPr="00236FEE">
        <w:rPr>
          <w:rFonts w:ascii="Simplified Arabic" w:hAnsi="Simplified Arabic" w:cs="Simplified Arabic"/>
          <w:sz w:val="24"/>
          <w:szCs w:val="24"/>
          <w:rtl/>
        </w:rPr>
        <w:t xml:space="preserve">معهد أبحاث السياسات الاقتصادية الفلسطيني (ماس), نحو توظيف أنجع للمساعدات الخارجية المقدمة للشعب الفلسطيني, ماس, رام الله, </w:t>
      </w:r>
      <w:r w:rsidRPr="00236FEE">
        <w:rPr>
          <w:rFonts w:ascii="Simplified Arabic" w:hAnsi="Simplified Arabic" w:cs="Simplified Arabic"/>
          <w:sz w:val="24"/>
          <w:szCs w:val="24"/>
        </w:rPr>
        <w:t>2005</w:t>
      </w:r>
      <w:r w:rsidRPr="00236FEE">
        <w:rPr>
          <w:rFonts w:ascii="Simplified Arabic" w:hAnsi="Simplified Arabic" w:cs="Simplified Arabic"/>
          <w:sz w:val="24"/>
          <w:szCs w:val="24"/>
          <w:rtl/>
        </w:rPr>
        <w:t>.</w:t>
      </w:r>
    </w:p>
    <w:p w:rsidR="001B28C7" w:rsidRPr="00236FEE" w:rsidRDefault="001B28C7" w:rsidP="00624491">
      <w:pPr>
        <w:pStyle w:val="a7"/>
        <w:numPr>
          <w:ilvl w:val="0"/>
          <w:numId w:val="11"/>
        </w:numPr>
        <w:spacing w:after="120" w:line="240" w:lineRule="auto"/>
        <w:ind w:left="765" w:hanging="425"/>
        <w:jc w:val="lowKashida"/>
        <w:rPr>
          <w:rFonts w:ascii="Simplified Arabic" w:hAnsi="Simplified Arabic" w:cs="Simplified Arabic"/>
          <w:sz w:val="24"/>
          <w:szCs w:val="24"/>
          <w:rtl/>
          <w:lang w:bidi="ar-IQ"/>
        </w:rPr>
      </w:pPr>
      <w:r w:rsidRPr="00236FEE">
        <w:rPr>
          <w:rFonts w:ascii="Simplified Arabic" w:hAnsi="Simplified Arabic" w:cs="Simplified Arabic"/>
          <w:sz w:val="24"/>
          <w:szCs w:val="24"/>
          <w:rtl/>
        </w:rPr>
        <w:t xml:space="preserve">مازن العجلة, الاقتصاد السياسي للدولة الفلسطينية, سلسلة قراءات استراتيجية, العدد الثاني عشر, مركز التخطيط الفلسطيني, غزة, نوفمبر </w:t>
      </w:r>
      <w:r w:rsidRPr="00236FEE">
        <w:rPr>
          <w:rFonts w:ascii="Simplified Arabic" w:hAnsi="Simplified Arabic" w:cs="Simplified Arabic"/>
          <w:sz w:val="24"/>
          <w:szCs w:val="24"/>
        </w:rPr>
        <w:t>2013</w:t>
      </w:r>
      <w:r w:rsidRPr="00236FEE">
        <w:rPr>
          <w:rFonts w:ascii="Simplified Arabic" w:hAnsi="Simplified Arabic" w:cs="Simplified Arabic"/>
          <w:sz w:val="24"/>
          <w:szCs w:val="24"/>
          <w:rtl/>
        </w:rPr>
        <w:t>.</w:t>
      </w:r>
    </w:p>
    <w:p w:rsidR="001B28C7" w:rsidRPr="00236FEE" w:rsidRDefault="001B28C7" w:rsidP="00624491">
      <w:pPr>
        <w:tabs>
          <w:tab w:val="left" w:pos="7965"/>
        </w:tabs>
        <w:spacing w:after="120" w:line="240" w:lineRule="auto"/>
        <w:ind w:left="765" w:hanging="425"/>
        <w:jc w:val="lowKashida"/>
        <w:rPr>
          <w:rFonts w:ascii="Simplified Arabic" w:hAnsi="Simplified Arabic" w:cs="Simplified Arabic"/>
          <w:sz w:val="24"/>
          <w:szCs w:val="24"/>
          <w:rtl/>
          <w:lang w:bidi="ar-IQ"/>
        </w:rPr>
      </w:pPr>
    </w:p>
    <w:p w:rsidR="001B28C7" w:rsidRPr="00236FEE" w:rsidRDefault="001B28C7" w:rsidP="00624491">
      <w:pPr>
        <w:tabs>
          <w:tab w:val="left" w:pos="7965"/>
        </w:tabs>
        <w:spacing w:after="120" w:line="240" w:lineRule="auto"/>
        <w:ind w:left="765" w:hanging="425"/>
        <w:jc w:val="lowKashida"/>
        <w:rPr>
          <w:rFonts w:ascii="Simplified Arabic" w:hAnsi="Simplified Arabic" w:cs="Simplified Arabic"/>
          <w:sz w:val="24"/>
          <w:szCs w:val="24"/>
          <w:rtl/>
        </w:rPr>
      </w:pPr>
    </w:p>
    <w:sectPr w:rsidR="001B28C7" w:rsidRPr="00236FEE" w:rsidSect="00B75625">
      <w:headerReference w:type="even" r:id="rId10"/>
      <w:headerReference w:type="default" r:id="rId11"/>
      <w:footerReference w:type="even" r:id="rId12"/>
      <w:footerReference w:type="default" r:id="rId13"/>
      <w:footerReference w:type="first" r:id="rId14"/>
      <w:footnotePr>
        <w:numRestart w:val="eachPage"/>
      </w:footnotePr>
      <w:endnotePr>
        <w:numFmt w:val="decimal"/>
      </w:endnotePr>
      <w:pgSz w:w="9639" w:h="13608" w:code="155"/>
      <w:pgMar w:top="1588" w:right="1247" w:bottom="1247" w:left="1247" w:header="720" w:footer="720" w:gutter="284"/>
      <w:pgNumType w:start="105"/>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CF9" w:rsidRDefault="00CE3CF9" w:rsidP="00D9462A">
      <w:pPr>
        <w:spacing w:after="0" w:line="240" w:lineRule="auto"/>
      </w:pPr>
      <w:r>
        <w:separator/>
      </w:r>
    </w:p>
  </w:endnote>
  <w:endnote w:type="continuationSeparator" w:id="0">
    <w:p w:rsidR="00CE3CF9" w:rsidRDefault="00CE3CF9" w:rsidP="00D9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TraditionalArabic">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A45148" w:rsidRDefault="002B6828" w:rsidP="00A45148">
    <w:pPr>
      <w:pStyle w:val="a3"/>
      <w:spacing w:after="0" w:line="240" w:lineRule="auto"/>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195CA3" w:rsidRPr="00195CA3">
      <w:rPr>
        <w:rFonts w:ascii="Times New Roman" w:hAnsi="Times New Roman"/>
        <w:b/>
        <w:bCs/>
        <w:noProof/>
        <w:sz w:val="24"/>
        <w:szCs w:val="24"/>
        <w:rtl/>
        <w:lang w:val="ar-SA"/>
      </w:rPr>
      <w:t>106</w:t>
    </w:r>
    <w:r w:rsidRPr="00A45148">
      <w:rPr>
        <w:rFonts w:ascii="Times New Roman" w:hAnsi="Times New Roman"/>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A45148" w:rsidRDefault="002B6828" w:rsidP="00A45148">
    <w:pPr>
      <w:pStyle w:val="a3"/>
      <w:spacing w:after="0" w:line="240" w:lineRule="auto"/>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195CA3" w:rsidRPr="00195CA3">
      <w:rPr>
        <w:rFonts w:ascii="Times New Roman" w:hAnsi="Times New Roman"/>
        <w:b/>
        <w:bCs/>
        <w:noProof/>
        <w:sz w:val="24"/>
        <w:szCs w:val="24"/>
        <w:rtl/>
        <w:lang w:val="ar-SA"/>
      </w:rPr>
      <w:t>107</w:t>
    </w:r>
    <w:r w:rsidRPr="00A45148">
      <w:rPr>
        <w:rFonts w:ascii="Times New Roman" w:hAnsi="Times New Roman"/>
        <w:b/>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7536B7" w:rsidRDefault="002B6828" w:rsidP="00B75625">
    <w:pPr>
      <w:pStyle w:val="a3"/>
      <w:spacing w:after="0" w:line="240" w:lineRule="auto"/>
      <w:jc w:val="right"/>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00195CA3" w:rsidRPr="00195CA3">
      <w:rPr>
        <w:rFonts w:ascii="Times New Roman" w:hAnsi="Times New Roman"/>
        <w:b/>
        <w:bCs/>
        <w:noProof/>
        <w:sz w:val="24"/>
        <w:szCs w:val="24"/>
        <w:rtl/>
        <w:lang w:val="ar-SA"/>
      </w:rPr>
      <w:t>105</w:t>
    </w:r>
    <w:r w:rsidRPr="007536B7">
      <w:rPr>
        <w:rFonts w:ascii="Times New Roman" w:hAnsi="Times New Roman"/>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CF9" w:rsidRDefault="00CE3CF9" w:rsidP="00D9462A">
      <w:pPr>
        <w:spacing w:after="0" w:line="240" w:lineRule="auto"/>
      </w:pPr>
      <w:r>
        <w:separator/>
      </w:r>
    </w:p>
  </w:footnote>
  <w:footnote w:type="continuationSeparator" w:id="0">
    <w:p w:rsidR="00CE3CF9" w:rsidRDefault="00CE3CF9" w:rsidP="00D9462A">
      <w:pPr>
        <w:spacing w:after="0" w:line="240" w:lineRule="auto"/>
      </w:pPr>
      <w:r>
        <w:continuationSeparator/>
      </w:r>
    </w:p>
  </w:footnote>
  <w:footnote w:id="1">
    <w:p w:rsidR="001B28C7" w:rsidRPr="00A413BC" w:rsidRDefault="001B28C7" w:rsidP="001B28C7">
      <w:pPr>
        <w:pStyle w:val="a7"/>
        <w:numPr>
          <w:ilvl w:val="0"/>
          <w:numId w:val="37"/>
        </w:numPr>
        <w:jc w:val="both"/>
      </w:pPr>
      <w:r w:rsidRPr="00956F4D">
        <w:rPr>
          <w:rFonts w:asciiTheme="majorBidi" w:hAnsiTheme="majorBidi" w:cstheme="majorBidi"/>
          <w:rtl/>
        </w:rPr>
        <w:t>الأ</w:t>
      </w:r>
      <w:r w:rsidRPr="00956F4D">
        <w:rPr>
          <w:rFonts w:asciiTheme="majorBidi" w:hAnsiTheme="majorBidi" w:cstheme="majorBidi" w:hint="cs"/>
          <w:rtl/>
        </w:rPr>
        <w:t>و</w:t>
      </w:r>
      <w:r w:rsidRPr="00956F4D">
        <w:rPr>
          <w:rFonts w:asciiTheme="majorBidi" w:hAnsiTheme="majorBidi" w:cstheme="majorBidi"/>
          <w:rtl/>
        </w:rPr>
        <w:t xml:space="preserve">نكتاد، الاقتصاد الفلسطيني: وضع سياسات الاقتصاد الكلي والتجارة في ظل الاحتلال، نيويورك وجنيف، </w:t>
      </w:r>
      <w:r w:rsidRPr="00956F4D">
        <w:rPr>
          <w:rFonts w:asciiTheme="majorBidi" w:hAnsiTheme="majorBidi" w:cstheme="majorBidi"/>
        </w:rPr>
        <w:t>2012</w:t>
      </w:r>
      <w:r w:rsidRPr="00956F4D">
        <w:rPr>
          <w:rFonts w:asciiTheme="majorBidi" w:hAnsiTheme="majorBidi" w:cstheme="majorBidi" w:hint="cs"/>
          <w:rtl/>
        </w:rPr>
        <w:t>, ص</w:t>
      </w:r>
      <w:r w:rsidRPr="00956F4D">
        <w:rPr>
          <w:rFonts w:asciiTheme="majorBidi" w:hAnsiTheme="majorBidi" w:cstheme="majorBidi"/>
        </w:rPr>
        <w:t>12</w:t>
      </w:r>
      <w:r w:rsidRPr="00956F4D">
        <w:rPr>
          <w:rFonts w:asciiTheme="majorBidi" w:hAnsiTheme="majorBidi" w:cstheme="majorBidi" w:hint="cs"/>
          <w:rtl/>
        </w:rPr>
        <w:t>.</w:t>
      </w:r>
    </w:p>
  </w:footnote>
  <w:footnote w:id="2">
    <w:p w:rsidR="001B28C7" w:rsidRPr="00956F4D" w:rsidRDefault="001B28C7" w:rsidP="001B28C7">
      <w:pPr>
        <w:ind w:left="360"/>
        <w:jc w:val="both"/>
        <w:rPr>
          <w:rFonts w:asciiTheme="majorBidi" w:hAnsiTheme="majorBidi" w:cstheme="majorBidi"/>
        </w:rPr>
      </w:pPr>
      <w:r w:rsidRPr="00956F4D">
        <w:rPr>
          <w:rStyle w:val="a9"/>
        </w:rPr>
        <w:footnoteRef/>
      </w:r>
      <w:r w:rsidRPr="00956F4D">
        <w:rPr>
          <w:rStyle w:val="a9"/>
          <w:rFonts w:hint="cs"/>
          <w:rtl/>
        </w:rPr>
        <w:t xml:space="preserve"> </w:t>
      </w:r>
      <w:r w:rsidRPr="00956F4D">
        <w:rPr>
          <w:rFonts w:hint="cs"/>
          <w:rtl/>
        </w:rPr>
        <w:t xml:space="preserve">. </w:t>
      </w:r>
      <w:proofErr w:type="spellStart"/>
      <w:r w:rsidRPr="00956F4D">
        <w:rPr>
          <w:rFonts w:asciiTheme="majorBidi" w:hAnsiTheme="majorBidi" w:cstheme="majorBidi"/>
          <w:rtl/>
        </w:rPr>
        <w:t>الأونكتاد</w:t>
      </w:r>
      <w:proofErr w:type="spellEnd"/>
      <w:r w:rsidRPr="00956F4D">
        <w:rPr>
          <w:rFonts w:asciiTheme="majorBidi" w:hAnsiTheme="majorBidi" w:cstheme="majorBidi"/>
          <w:rtl/>
        </w:rPr>
        <w:t xml:space="preserve">، تقرير عن المساعدة المقدمة من </w:t>
      </w:r>
      <w:proofErr w:type="spellStart"/>
      <w:r w:rsidRPr="00956F4D">
        <w:rPr>
          <w:rFonts w:asciiTheme="majorBidi" w:hAnsiTheme="majorBidi" w:cstheme="majorBidi"/>
          <w:rtl/>
        </w:rPr>
        <w:t>الأونكتاد</w:t>
      </w:r>
      <w:proofErr w:type="spellEnd"/>
      <w:r w:rsidRPr="00956F4D">
        <w:rPr>
          <w:rFonts w:asciiTheme="majorBidi" w:hAnsiTheme="majorBidi" w:cstheme="majorBidi"/>
          <w:rtl/>
        </w:rPr>
        <w:t xml:space="preserve"> إلى الشعب الفلسطيني</w:t>
      </w:r>
      <w:r w:rsidRPr="00956F4D">
        <w:rPr>
          <w:rFonts w:asciiTheme="majorBidi" w:hAnsiTheme="majorBidi" w:cstheme="majorBidi"/>
        </w:rPr>
        <w:t xml:space="preserve"> :</w:t>
      </w:r>
      <w:r w:rsidRPr="00956F4D">
        <w:rPr>
          <w:rFonts w:asciiTheme="majorBidi" w:hAnsiTheme="majorBidi" w:cstheme="majorBidi"/>
          <w:rtl/>
        </w:rPr>
        <w:t xml:space="preserve"> التطورات التي شهدها اقتصاد الأرض الفلسطينية المحتلة، جنيف، </w:t>
      </w:r>
      <w:r w:rsidRPr="00956F4D">
        <w:rPr>
          <w:rFonts w:asciiTheme="majorBidi" w:hAnsiTheme="majorBidi" w:cstheme="majorBidi"/>
        </w:rPr>
        <w:t>2012</w:t>
      </w:r>
      <w:r w:rsidRPr="00956F4D">
        <w:rPr>
          <w:rFonts w:asciiTheme="majorBidi" w:hAnsiTheme="majorBidi" w:cstheme="majorBidi" w:hint="cs"/>
          <w:rtl/>
        </w:rPr>
        <w:t>, ص</w:t>
      </w:r>
      <w:r w:rsidRPr="00956F4D">
        <w:rPr>
          <w:rFonts w:asciiTheme="majorBidi" w:hAnsiTheme="majorBidi" w:cstheme="majorBidi"/>
        </w:rPr>
        <w:t>16</w:t>
      </w:r>
      <w:r w:rsidRPr="00956F4D">
        <w:rPr>
          <w:rFonts w:asciiTheme="majorBidi" w:hAnsiTheme="majorBidi" w:cstheme="majorBidi" w:hint="cs"/>
          <w:rtl/>
        </w:rPr>
        <w:t>.</w:t>
      </w:r>
      <w:r w:rsidRPr="00956F4D">
        <w:rPr>
          <w:rFonts w:asciiTheme="majorBidi" w:hAnsiTheme="majorBidi" w:cstheme="majorBidi"/>
          <w:rtl/>
        </w:rPr>
        <w:t xml:space="preserve"> </w:t>
      </w:r>
    </w:p>
    <w:p w:rsidR="001B28C7" w:rsidRPr="00956F4D" w:rsidRDefault="001B28C7" w:rsidP="001B28C7">
      <w:pPr>
        <w:pStyle w:val="a8"/>
        <w:tabs>
          <w:tab w:val="left" w:pos="3680"/>
        </w:tabs>
      </w:pPr>
      <w:r>
        <w:tab/>
      </w:r>
    </w:p>
  </w:footnote>
  <w:footnote w:id="3">
    <w:p w:rsidR="001B28C7" w:rsidRPr="00956F4D" w:rsidRDefault="001B28C7" w:rsidP="001B28C7">
      <w:pPr>
        <w:ind w:left="360"/>
        <w:jc w:val="both"/>
        <w:rPr>
          <w:rtl/>
        </w:rPr>
      </w:pPr>
      <w:r>
        <w:rPr>
          <w:rStyle w:val="a9"/>
        </w:rPr>
        <w:footnoteRef/>
      </w:r>
      <w:r>
        <w:t xml:space="preserve"> </w:t>
      </w:r>
      <w:r>
        <w:rPr>
          <w:rFonts w:hint="cs"/>
          <w:rtl/>
        </w:rPr>
        <w:t xml:space="preserve">. </w:t>
      </w:r>
      <w:r w:rsidRPr="002C0A83">
        <w:rPr>
          <w:rFonts w:asciiTheme="majorBidi" w:hAnsiTheme="majorBidi" w:cstheme="majorBidi"/>
          <w:rtl/>
        </w:rPr>
        <w:t xml:space="preserve">أحمد </w:t>
      </w:r>
      <w:proofErr w:type="spellStart"/>
      <w:r w:rsidRPr="002C0A83">
        <w:rPr>
          <w:rFonts w:asciiTheme="majorBidi" w:hAnsiTheme="majorBidi" w:cstheme="majorBidi"/>
          <w:rtl/>
        </w:rPr>
        <w:t>قباجة</w:t>
      </w:r>
      <w:proofErr w:type="spellEnd"/>
      <w:r w:rsidRPr="002C0A83">
        <w:rPr>
          <w:rFonts w:asciiTheme="majorBidi" w:hAnsiTheme="majorBidi" w:cstheme="majorBidi"/>
          <w:rtl/>
        </w:rPr>
        <w:t>، الاستدامة المالية للسلطة الوطنية الفلسطينية: التجربة التاريخية والآفاق المستقبلية، معهد أبحاث السياسات الاقتصادية الفلسطيني(ماس)، رام الله، فلسطين،</w:t>
      </w:r>
      <w:r>
        <w:rPr>
          <w:rFonts w:asciiTheme="majorBidi" w:hAnsiTheme="majorBidi" w:cstheme="majorBidi" w:hint="cs"/>
          <w:rtl/>
        </w:rPr>
        <w:t xml:space="preserve"> </w:t>
      </w:r>
      <w:r>
        <w:rPr>
          <w:rFonts w:asciiTheme="majorBidi" w:hAnsiTheme="majorBidi" w:cstheme="majorBidi"/>
        </w:rPr>
        <w:t>2012</w:t>
      </w:r>
      <w:r>
        <w:rPr>
          <w:rFonts w:asciiTheme="majorBidi" w:hAnsiTheme="majorBidi" w:cstheme="majorBidi" w:hint="cs"/>
          <w:rtl/>
        </w:rPr>
        <w:t>, ص</w:t>
      </w:r>
      <w:r>
        <w:rPr>
          <w:rFonts w:asciiTheme="majorBidi" w:hAnsiTheme="majorBidi" w:cstheme="majorBidi"/>
        </w:rPr>
        <w:t>52</w:t>
      </w:r>
      <w:r>
        <w:rPr>
          <w:rFonts w:asciiTheme="majorBidi" w:hAnsiTheme="majorBidi" w:cstheme="majorBidi" w:hint="cs"/>
          <w:rtl/>
        </w:rPr>
        <w:t>.</w:t>
      </w:r>
    </w:p>
  </w:footnote>
  <w:footnote w:id="4">
    <w:p w:rsidR="001B28C7" w:rsidRDefault="001B28C7" w:rsidP="001B28C7">
      <w:pPr>
        <w:pStyle w:val="a8"/>
        <w:ind w:left="360"/>
        <w:rPr>
          <w:rtl/>
          <w:lang w:bidi="ar-IQ"/>
        </w:rPr>
      </w:pPr>
      <w:r w:rsidRPr="009D1D35">
        <w:rPr>
          <w:rStyle w:val="a9"/>
        </w:rPr>
        <w:sym w:font="Symbol" w:char="F02A"/>
      </w:r>
      <w:r w:rsidRPr="009D1D35">
        <w:rPr>
          <w:rFonts w:hint="cs"/>
          <w:rtl/>
          <w:lang w:bidi="ar-IQ"/>
        </w:rPr>
        <w:t>هي عبارة</w:t>
      </w:r>
      <w:r w:rsidRPr="009D1D35">
        <w:rPr>
          <w:rtl/>
          <w:lang w:bidi="ar-IQ"/>
        </w:rPr>
        <w:t xml:space="preserve"> عن مجموع الإيرادات ال</w:t>
      </w:r>
      <w:r w:rsidRPr="009D1D35">
        <w:rPr>
          <w:rFonts w:hint="cs"/>
          <w:rtl/>
          <w:lang w:bidi="ar-IQ"/>
        </w:rPr>
        <w:t>ّ</w:t>
      </w:r>
      <w:r w:rsidRPr="009D1D35">
        <w:rPr>
          <w:rtl/>
          <w:lang w:bidi="ar-IQ"/>
        </w:rPr>
        <w:t>تي يتم</w:t>
      </w:r>
      <w:r w:rsidRPr="009D1D35">
        <w:rPr>
          <w:rFonts w:hint="cs"/>
          <w:rtl/>
          <w:lang w:bidi="ar-IQ"/>
        </w:rPr>
        <w:t>ّ</w:t>
      </w:r>
      <w:r w:rsidRPr="009D1D35">
        <w:rPr>
          <w:rtl/>
          <w:lang w:bidi="ar-IQ"/>
        </w:rPr>
        <w:t xml:space="preserve"> تحصيلها نتيجة المعاملات التجاري</w:t>
      </w:r>
      <w:r w:rsidRPr="009D1D35">
        <w:rPr>
          <w:rFonts w:hint="cs"/>
          <w:rtl/>
          <w:lang w:bidi="ar-IQ"/>
        </w:rPr>
        <w:t>ّ</w:t>
      </w:r>
      <w:r w:rsidRPr="009D1D35">
        <w:rPr>
          <w:rtl/>
          <w:lang w:bidi="ar-IQ"/>
        </w:rPr>
        <w:t>ة بين السلطة الوطني</w:t>
      </w:r>
      <w:r w:rsidRPr="009D1D35">
        <w:rPr>
          <w:rFonts w:hint="cs"/>
          <w:rtl/>
          <w:lang w:bidi="ar-IQ"/>
        </w:rPr>
        <w:t>ّ</w:t>
      </w:r>
      <w:r w:rsidRPr="009D1D35">
        <w:rPr>
          <w:rtl/>
          <w:lang w:bidi="ar-IQ"/>
        </w:rPr>
        <w:t>ة الفلسطيني</w:t>
      </w:r>
      <w:r w:rsidRPr="009D1D35">
        <w:rPr>
          <w:rFonts w:hint="cs"/>
          <w:rtl/>
          <w:lang w:bidi="ar-IQ"/>
        </w:rPr>
        <w:t>ّ</w:t>
      </w:r>
      <w:r w:rsidRPr="009D1D35">
        <w:rPr>
          <w:rtl/>
          <w:lang w:bidi="ar-IQ"/>
        </w:rPr>
        <w:t>ة والجانب الإسرائيلي</w:t>
      </w:r>
      <w:r w:rsidRPr="009D1D35">
        <w:rPr>
          <w:rFonts w:hint="cs"/>
          <w:rtl/>
          <w:lang w:bidi="ar-IQ"/>
        </w:rPr>
        <w:t>،</w:t>
      </w:r>
    </w:p>
    <w:p w:rsidR="001B28C7" w:rsidRDefault="001B28C7" w:rsidP="001B28C7">
      <w:pPr>
        <w:pStyle w:val="a8"/>
        <w:ind w:left="360"/>
        <w:rPr>
          <w:rtl/>
          <w:lang w:bidi="ar-IQ"/>
        </w:rPr>
      </w:pPr>
      <w:r w:rsidRPr="009D1D35">
        <w:rPr>
          <w:rtl/>
          <w:lang w:bidi="ar-IQ"/>
        </w:rPr>
        <w:t>وفقاً لاتفاق باريس الاقتصادي، ويتم</w:t>
      </w:r>
      <w:r w:rsidRPr="009D1D35">
        <w:rPr>
          <w:rFonts w:hint="cs"/>
          <w:rtl/>
          <w:lang w:bidi="ar-IQ"/>
        </w:rPr>
        <w:t>ّ</w:t>
      </w:r>
      <w:r w:rsidRPr="009D1D35">
        <w:rPr>
          <w:rtl/>
          <w:lang w:bidi="ar-IQ"/>
        </w:rPr>
        <w:t xml:space="preserve"> تحويلها إلى وزارة المالي</w:t>
      </w:r>
      <w:r w:rsidRPr="009D1D35">
        <w:rPr>
          <w:rFonts w:hint="cs"/>
          <w:rtl/>
          <w:lang w:bidi="ar-IQ"/>
        </w:rPr>
        <w:t>ّ</w:t>
      </w:r>
      <w:r w:rsidRPr="009D1D35">
        <w:rPr>
          <w:rtl/>
          <w:lang w:bidi="ar-IQ"/>
        </w:rPr>
        <w:t>ة وفقاً لجلسات المقاصة الشهري</w:t>
      </w:r>
      <w:r w:rsidRPr="009D1D35">
        <w:rPr>
          <w:rFonts w:hint="cs"/>
          <w:rtl/>
          <w:lang w:bidi="ar-IQ"/>
        </w:rPr>
        <w:t>ّ</w:t>
      </w:r>
      <w:r w:rsidRPr="009D1D35">
        <w:rPr>
          <w:rtl/>
          <w:lang w:bidi="ar-IQ"/>
        </w:rPr>
        <w:t>ة</w:t>
      </w:r>
      <w:r w:rsidRPr="009D1D35">
        <w:rPr>
          <w:rFonts w:hint="cs"/>
          <w:rtl/>
          <w:lang w:bidi="ar-IQ"/>
        </w:rPr>
        <w:t>.</w:t>
      </w:r>
    </w:p>
  </w:footnote>
  <w:footnote w:id="5">
    <w:p w:rsidR="001B28C7" w:rsidRPr="00340E0C" w:rsidRDefault="001B28C7" w:rsidP="001B28C7">
      <w:pPr>
        <w:ind w:left="360"/>
        <w:rPr>
          <w:rtl/>
        </w:rPr>
      </w:pPr>
      <w:r w:rsidRPr="00340E0C">
        <w:rPr>
          <w:rStyle w:val="a9"/>
        </w:rPr>
        <w:footnoteRef/>
      </w:r>
      <w:r w:rsidRPr="00340E0C">
        <w:t xml:space="preserve"> </w:t>
      </w:r>
      <w:r w:rsidRPr="00340E0C">
        <w:rPr>
          <w:rFonts w:hint="cs"/>
          <w:rtl/>
        </w:rPr>
        <w:t xml:space="preserve">. </w:t>
      </w:r>
      <w:r w:rsidRPr="00340E0C">
        <w:rPr>
          <w:rFonts w:asciiTheme="majorBidi" w:hAnsiTheme="majorBidi" w:cstheme="majorBidi"/>
          <w:rtl/>
        </w:rPr>
        <w:t xml:space="preserve">سلطة النقد الفلسطينية، التقرير السنوي </w:t>
      </w:r>
      <w:r w:rsidRPr="00340E0C">
        <w:rPr>
          <w:rFonts w:asciiTheme="majorBidi" w:hAnsiTheme="majorBidi" w:cstheme="majorBidi"/>
        </w:rPr>
        <w:t>2014</w:t>
      </w:r>
      <w:r w:rsidRPr="00340E0C">
        <w:rPr>
          <w:rFonts w:asciiTheme="majorBidi" w:hAnsiTheme="majorBidi" w:cstheme="majorBidi"/>
          <w:rtl/>
        </w:rPr>
        <w:t xml:space="preserve">، رام الله، حزيران </w:t>
      </w:r>
      <w:r w:rsidRPr="00340E0C">
        <w:rPr>
          <w:rFonts w:asciiTheme="majorBidi" w:hAnsiTheme="majorBidi" w:cstheme="majorBidi"/>
        </w:rPr>
        <w:t>2014</w:t>
      </w:r>
      <w:r w:rsidRPr="00340E0C">
        <w:rPr>
          <w:rFonts w:asciiTheme="majorBidi" w:hAnsiTheme="majorBidi" w:cstheme="majorBidi" w:hint="cs"/>
          <w:rtl/>
        </w:rPr>
        <w:t xml:space="preserve">, ص </w:t>
      </w:r>
      <w:r w:rsidRPr="00340E0C">
        <w:rPr>
          <w:rFonts w:asciiTheme="majorBidi" w:hAnsiTheme="majorBidi" w:cstheme="majorBidi"/>
        </w:rPr>
        <w:t>34</w:t>
      </w:r>
      <w:r w:rsidRPr="00340E0C">
        <w:rPr>
          <w:rFonts w:asciiTheme="majorBidi" w:hAnsiTheme="majorBidi" w:cstheme="majorBidi" w:hint="cs"/>
          <w:rtl/>
        </w:rPr>
        <w:t>.</w:t>
      </w:r>
    </w:p>
  </w:footnote>
  <w:footnote w:id="6">
    <w:p w:rsidR="001B28C7" w:rsidRDefault="001B28C7" w:rsidP="008509E3">
      <w:pPr>
        <w:spacing w:after="0"/>
        <w:ind w:left="357"/>
        <w:jc w:val="both"/>
        <w:rPr>
          <w:rtl/>
        </w:rPr>
      </w:pPr>
      <w:r w:rsidRPr="00340E0C">
        <w:rPr>
          <w:rStyle w:val="a9"/>
        </w:rPr>
        <w:footnoteRef/>
      </w:r>
      <w:r w:rsidRPr="00340E0C">
        <w:t xml:space="preserve"> </w:t>
      </w:r>
      <w:r w:rsidRPr="00340E0C">
        <w:rPr>
          <w:rFonts w:asciiTheme="majorBidi" w:hAnsiTheme="majorBidi" w:cstheme="majorBidi" w:hint="cs"/>
          <w:rtl/>
        </w:rPr>
        <w:t xml:space="preserve">. </w:t>
      </w:r>
      <w:proofErr w:type="spellStart"/>
      <w:r w:rsidRPr="00340E0C">
        <w:rPr>
          <w:rFonts w:asciiTheme="majorBidi" w:hAnsiTheme="majorBidi" w:cstheme="majorBidi"/>
          <w:rtl/>
        </w:rPr>
        <w:t>الأونكتاد</w:t>
      </w:r>
      <w:proofErr w:type="spellEnd"/>
      <w:r w:rsidRPr="00340E0C">
        <w:rPr>
          <w:rFonts w:asciiTheme="majorBidi" w:hAnsiTheme="majorBidi" w:cstheme="majorBidi"/>
          <w:rtl/>
        </w:rPr>
        <w:t xml:space="preserve">، تقرير عن المساعدة المقدمة من </w:t>
      </w:r>
      <w:proofErr w:type="spellStart"/>
      <w:r w:rsidRPr="00340E0C">
        <w:rPr>
          <w:rFonts w:asciiTheme="majorBidi" w:hAnsiTheme="majorBidi" w:cstheme="majorBidi"/>
          <w:rtl/>
        </w:rPr>
        <w:t>الأونكتاد</w:t>
      </w:r>
      <w:proofErr w:type="spellEnd"/>
      <w:r w:rsidRPr="00340E0C">
        <w:rPr>
          <w:rFonts w:asciiTheme="majorBidi" w:hAnsiTheme="majorBidi" w:cstheme="majorBidi"/>
          <w:rtl/>
        </w:rPr>
        <w:t xml:space="preserve"> إلى الشعب الفلسطيني</w:t>
      </w:r>
      <w:r w:rsidRPr="00340E0C">
        <w:rPr>
          <w:rFonts w:asciiTheme="majorBidi" w:hAnsiTheme="majorBidi" w:cstheme="majorBidi"/>
        </w:rPr>
        <w:t xml:space="preserve"> :</w:t>
      </w:r>
      <w:r w:rsidRPr="00340E0C">
        <w:rPr>
          <w:rFonts w:asciiTheme="majorBidi" w:hAnsiTheme="majorBidi" w:cstheme="majorBidi"/>
          <w:rtl/>
        </w:rPr>
        <w:t xml:space="preserve"> التطورات التي شهدها اقتصاد الأرض الفلسطينية المحتلة، جنيف، </w:t>
      </w:r>
      <w:r w:rsidRPr="00340E0C">
        <w:rPr>
          <w:rFonts w:asciiTheme="majorBidi" w:hAnsiTheme="majorBidi" w:cstheme="majorBidi"/>
        </w:rPr>
        <w:t>2011</w:t>
      </w:r>
      <w:r w:rsidRPr="00340E0C">
        <w:rPr>
          <w:rFonts w:asciiTheme="majorBidi" w:hAnsiTheme="majorBidi" w:cstheme="majorBidi" w:hint="cs"/>
          <w:rtl/>
        </w:rPr>
        <w:t>, ص</w:t>
      </w:r>
      <w:r w:rsidRPr="00340E0C">
        <w:rPr>
          <w:rFonts w:asciiTheme="majorBidi" w:hAnsiTheme="majorBidi" w:cstheme="majorBidi"/>
        </w:rPr>
        <w:t>12</w:t>
      </w:r>
      <w:r w:rsidRPr="00340E0C">
        <w:rPr>
          <w:rFonts w:asciiTheme="majorBidi" w:hAnsiTheme="majorBidi" w:cstheme="majorBidi" w:hint="cs"/>
          <w:rtl/>
        </w:rPr>
        <w:t>.</w:t>
      </w:r>
    </w:p>
  </w:footnote>
  <w:footnote w:id="7">
    <w:p w:rsidR="001B28C7" w:rsidRPr="008509E3" w:rsidRDefault="001B28C7" w:rsidP="008509E3">
      <w:pPr>
        <w:ind w:left="360"/>
        <w:jc w:val="both"/>
        <w:rPr>
          <w:rFonts w:ascii="Simplified Arabic" w:hAnsi="Simplified Arabic" w:cs="Simplified Arabic"/>
          <w:sz w:val="20"/>
          <w:szCs w:val="20"/>
          <w:rtl/>
        </w:rPr>
      </w:pPr>
      <w:r w:rsidRPr="008509E3">
        <w:rPr>
          <w:rStyle w:val="a9"/>
          <w:rFonts w:ascii="Simplified Arabic" w:hAnsi="Simplified Arabic" w:cs="Simplified Arabic"/>
          <w:sz w:val="20"/>
          <w:szCs w:val="20"/>
        </w:rPr>
        <w:footnoteRef/>
      </w:r>
      <w:r w:rsidRPr="008509E3">
        <w:rPr>
          <w:rFonts w:ascii="Simplified Arabic" w:hAnsi="Simplified Arabic" w:cs="Simplified Arabic"/>
          <w:sz w:val="20"/>
          <w:szCs w:val="20"/>
        </w:rPr>
        <w:t xml:space="preserve"> </w:t>
      </w:r>
      <w:r w:rsidRPr="008509E3">
        <w:rPr>
          <w:rFonts w:ascii="Simplified Arabic" w:hAnsi="Simplified Arabic" w:cs="Simplified Arabic"/>
          <w:sz w:val="20"/>
          <w:szCs w:val="20"/>
          <w:rtl/>
        </w:rPr>
        <w:t xml:space="preserve">. سوسن الهدهد، التسرب المالي لدى خزينة السلطة الفلسطينية وعلاقته بالمستوردات غير المباشرة، رسالة ماجستير غير منشورة، جامعة النجاح، نابلس، </w:t>
      </w:r>
      <w:r w:rsidRPr="008509E3">
        <w:rPr>
          <w:rFonts w:ascii="Simplified Arabic" w:hAnsi="Simplified Arabic" w:cs="Simplified Arabic"/>
          <w:sz w:val="20"/>
          <w:szCs w:val="20"/>
        </w:rPr>
        <w:t>2010</w:t>
      </w:r>
      <w:r w:rsidRPr="008509E3">
        <w:rPr>
          <w:rFonts w:ascii="Simplified Arabic" w:hAnsi="Simplified Arabic" w:cs="Simplified Arabic"/>
          <w:sz w:val="20"/>
          <w:szCs w:val="20"/>
          <w:rtl/>
        </w:rPr>
        <w:t>, ص</w:t>
      </w:r>
      <w:r w:rsidRPr="008509E3">
        <w:rPr>
          <w:rFonts w:ascii="Simplified Arabic" w:hAnsi="Simplified Arabic" w:cs="Simplified Arabic"/>
          <w:sz w:val="20"/>
          <w:szCs w:val="20"/>
        </w:rPr>
        <w:t>103</w:t>
      </w:r>
      <w:r w:rsidRPr="008509E3">
        <w:rPr>
          <w:rFonts w:ascii="Simplified Arabic" w:hAnsi="Simplified Arabic" w:cs="Simplified Arabic"/>
          <w:sz w:val="20"/>
          <w:szCs w:val="20"/>
          <w:rtl/>
        </w:rPr>
        <w:t>.</w:t>
      </w:r>
    </w:p>
  </w:footnote>
  <w:footnote w:id="8">
    <w:p w:rsidR="001B28C7" w:rsidRPr="008509E3" w:rsidRDefault="001B28C7" w:rsidP="001B28C7">
      <w:pPr>
        <w:ind w:left="360"/>
        <w:jc w:val="both"/>
        <w:rPr>
          <w:rFonts w:ascii="Simplified Arabic" w:hAnsi="Simplified Arabic" w:cs="Simplified Arabic"/>
          <w:sz w:val="20"/>
          <w:szCs w:val="20"/>
        </w:rPr>
      </w:pPr>
      <w:r w:rsidRPr="008509E3">
        <w:rPr>
          <w:rStyle w:val="a9"/>
          <w:rFonts w:ascii="Simplified Arabic" w:hAnsi="Simplified Arabic" w:cs="Simplified Arabic"/>
          <w:sz w:val="20"/>
          <w:szCs w:val="20"/>
        </w:rPr>
        <w:footnoteRef/>
      </w:r>
      <w:r w:rsidRPr="008509E3">
        <w:rPr>
          <w:rFonts w:ascii="Simplified Arabic" w:hAnsi="Simplified Arabic" w:cs="Simplified Arabic"/>
          <w:sz w:val="20"/>
          <w:szCs w:val="20"/>
        </w:rPr>
        <w:t xml:space="preserve"> </w:t>
      </w:r>
      <w:r w:rsidRPr="008509E3">
        <w:rPr>
          <w:rFonts w:ascii="Simplified Arabic" w:hAnsi="Simplified Arabic" w:cs="Simplified Arabic"/>
          <w:sz w:val="20"/>
          <w:szCs w:val="20"/>
          <w:rtl/>
        </w:rPr>
        <w:t xml:space="preserve">. حنين </w:t>
      </w:r>
      <w:proofErr w:type="spellStart"/>
      <w:r w:rsidRPr="008509E3">
        <w:rPr>
          <w:rFonts w:ascii="Simplified Arabic" w:hAnsi="Simplified Arabic" w:cs="Simplified Arabic"/>
          <w:sz w:val="20"/>
          <w:szCs w:val="20"/>
          <w:rtl/>
        </w:rPr>
        <w:t>حميض</w:t>
      </w:r>
      <w:proofErr w:type="spellEnd"/>
      <w:r w:rsidRPr="008509E3">
        <w:rPr>
          <w:rFonts w:ascii="Simplified Arabic" w:hAnsi="Simplified Arabic" w:cs="Simplified Arabic"/>
          <w:sz w:val="20"/>
          <w:szCs w:val="20"/>
          <w:rtl/>
        </w:rPr>
        <w:t>، تأثير المقاصة على الإيرادات الضريبية في فلسطين من (</w:t>
      </w:r>
      <w:r w:rsidRPr="008509E3">
        <w:rPr>
          <w:rFonts w:ascii="Simplified Arabic" w:hAnsi="Simplified Arabic" w:cs="Simplified Arabic"/>
          <w:sz w:val="20"/>
          <w:szCs w:val="20"/>
        </w:rPr>
        <w:t>1995</w:t>
      </w:r>
      <w:r w:rsidRPr="008509E3">
        <w:rPr>
          <w:rFonts w:ascii="Simplified Arabic" w:hAnsi="Simplified Arabic" w:cs="Simplified Arabic"/>
          <w:sz w:val="20"/>
          <w:szCs w:val="20"/>
          <w:rtl/>
        </w:rPr>
        <w:t>-</w:t>
      </w:r>
      <w:r w:rsidRPr="008509E3">
        <w:rPr>
          <w:rFonts w:ascii="Simplified Arabic" w:hAnsi="Simplified Arabic" w:cs="Simplified Arabic"/>
          <w:sz w:val="20"/>
          <w:szCs w:val="20"/>
        </w:rPr>
        <w:t>2005</w:t>
      </w:r>
      <w:r w:rsidRPr="008509E3">
        <w:rPr>
          <w:rFonts w:ascii="Simplified Arabic" w:hAnsi="Simplified Arabic" w:cs="Simplified Arabic"/>
          <w:sz w:val="20"/>
          <w:szCs w:val="20"/>
          <w:rtl/>
        </w:rPr>
        <w:t xml:space="preserve">)، رسالة ماجستير غير منشورة، جامعة النجاح، نابلس، </w:t>
      </w:r>
      <w:r w:rsidRPr="008509E3">
        <w:rPr>
          <w:rFonts w:ascii="Simplified Arabic" w:hAnsi="Simplified Arabic" w:cs="Simplified Arabic"/>
          <w:sz w:val="20"/>
          <w:szCs w:val="20"/>
        </w:rPr>
        <w:t>2006</w:t>
      </w:r>
      <w:r w:rsidRPr="008509E3">
        <w:rPr>
          <w:rFonts w:ascii="Simplified Arabic" w:hAnsi="Simplified Arabic" w:cs="Simplified Arabic"/>
          <w:sz w:val="20"/>
          <w:szCs w:val="20"/>
          <w:rtl/>
        </w:rPr>
        <w:t>, ص</w:t>
      </w:r>
      <w:r w:rsidRPr="008509E3">
        <w:rPr>
          <w:rFonts w:ascii="Simplified Arabic" w:hAnsi="Simplified Arabic" w:cs="Simplified Arabic"/>
          <w:sz w:val="20"/>
          <w:szCs w:val="20"/>
        </w:rPr>
        <w:t>80</w:t>
      </w:r>
      <w:r w:rsidRPr="008509E3">
        <w:rPr>
          <w:rFonts w:ascii="Simplified Arabic" w:hAnsi="Simplified Arabic" w:cs="Simplified Arabic"/>
          <w:sz w:val="20"/>
          <w:szCs w:val="20"/>
          <w:rtl/>
        </w:rPr>
        <w:t>.</w:t>
      </w:r>
    </w:p>
  </w:footnote>
  <w:footnote w:id="9">
    <w:p w:rsidR="001B28C7" w:rsidRPr="008509E3" w:rsidRDefault="001B28C7" w:rsidP="008509E3">
      <w:pPr>
        <w:spacing w:after="0"/>
        <w:ind w:left="357"/>
        <w:jc w:val="both"/>
        <w:rPr>
          <w:sz w:val="20"/>
          <w:szCs w:val="20"/>
        </w:rPr>
      </w:pPr>
      <w:r w:rsidRPr="00B52BFB">
        <w:rPr>
          <w:rStyle w:val="a9"/>
        </w:rPr>
        <w:footnoteRef/>
      </w:r>
      <w:r w:rsidRPr="00B52BFB">
        <w:rPr>
          <w:rStyle w:val="a9"/>
        </w:rPr>
        <w:t xml:space="preserve"> </w:t>
      </w:r>
      <w:r w:rsidRPr="008509E3">
        <w:rPr>
          <w:rFonts w:asciiTheme="majorBidi" w:hAnsiTheme="majorBidi" w:cstheme="majorBidi" w:hint="cs"/>
          <w:sz w:val="20"/>
          <w:szCs w:val="20"/>
          <w:rtl/>
        </w:rPr>
        <w:t xml:space="preserve">. </w:t>
      </w:r>
      <w:proofErr w:type="spellStart"/>
      <w:r w:rsidRPr="008509E3">
        <w:rPr>
          <w:rFonts w:asciiTheme="majorBidi" w:hAnsiTheme="majorBidi" w:cstheme="majorBidi"/>
          <w:sz w:val="20"/>
          <w:szCs w:val="20"/>
          <w:rtl/>
        </w:rPr>
        <w:t>الأونكتاد</w:t>
      </w:r>
      <w:proofErr w:type="spellEnd"/>
      <w:r w:rsidRPr="008509E3">
        <w:rPr>
          <w:rFonts w:asciiTheme="majorBidi" w:hAnsiTheme="majorBidi" w:cstheme="majorBidi"/>
          <w:sz w:val="20"/>
          <w:szCs w:val="20"/>
          <w:rtl/>
        </w:rPr>
        <w:t xml:space="preserve">، تسرب الإيرادات المالية الفلسطينية إلى إسرائيل في ظل بروتوكول باريس الاقتصادي، نيويورك وجنيف، </w:t>
      </w:r>
      <w:r w:rsidRPr="008509E3">
        <w:rPr>
          <w:rFonts w:asciiTheme="majorBidi" w:hAnsiTheme="majorBidi" w:cstheme="majorBidi"/>
          <w:sz w:val="20"/>
          <w:szCs w:val="20"/>
        </w:rPr>
        <w:t>2014</w:t>
      </w:r>
      <w:r w:rsidRPr="008509E3">
        <w:rPr>
          <w:rFonts w:asciiTheme="majorBidi" w:hAnsiTheme="majorBidi" w:cstheme="majorBidi" w:hint="cs"/>
          <w:sz w:val="20"/>
          <w:szCs w:val="20"/>
          <w:rtl/>
        </w:rPr>
        <w:t>, ص</w:t>
      </w:r>
      <w:r w:rsidRPr="008509E3">
        <w:rPr>
          <w:rFonts w:asciiTheme="majorBidi" w:hAnsiTheme="majorBidi" w:cstheme="majorBidi"/>
          <w:sz w:val="20"/>
          <w:szCs w:val="20"/>
          <w:rtl/>
        </w:rPr>
        <w:t xml:space="preserve"> </w:t>
      </w:r>
      <w:r w:rsidRPr="008509E3">
        <w:rPr>
          <w:rFonts w:asciiTheme="majorBidi" w:hAnsiTheme="majorBidi" w:cstheme="majorBidi"/>
          <w:sz w:val="20"/>
          <w:szCs w:val="20"/>
        </w:rPr>
        <w:t>39</w:t>
      </w:r>
      <w:r w:rsidRPr="008509E3">
        <w:rPr>
          <w:rFonts w:asciiTheme="majorBidi" w:hAnsiTheme="majorBidi" w:cstheme="majorBidi" w:hint="cs"/>
          <w:sz w:val="20"/>
          <w:szCs w:val="20"/>
          <w:rtl/>
        </w:rPr>
        <w:t>.</w:t>
      </w:r>
    </w:p>
  </w:footnote>
  <w:footnote w:id="10">
    <w:p w:rsidR="001B28C7" w:rsidRPr="008509E3" w:rsidRDefault="001B28C7" w:rsidP="008509E3">
      <w:pPr>
        <w:pStyle w:val="a8"/>
        <w:ind w:left="357"/>
        <w:rPr>
          <w:rtl/>
        </w:rPr>
      </w:pPr>
      <w:r w:rsidRPr="008509E3">
        <w:rPr>
          <w:rStyle w:val="a9"/>
        </w:rPr>
        <w:footnoteRef/>
      </w:r>
      <w:r w:rsidRPr="008509E3">
        <w:t xml:space="preserve"> </w:t>
      </w:r>
      <w:r w:rsidRPr="008509E3">
        <w:rPr>
          <w:rFonts w:hint="cs"/>
          <w:rtl/>
        </w:rPr>
        <w:t>. نفس المرجع السابق, ص</w:t>
      </w:r>
      <w:r w:rsidRPr="008509E3">
        <w:t>41</w:t>
      </w:r>
      <w:r w:rsidRPr="008509E3">
        <w:rPr>
          <w:rFonts w:hint="cs"/>
          <w:rtl/>
        </w:rPr>
        <w:t>.</w:t>
      </w:r>
    </w:p>
  </w:footnote>
  <w:footnote w:id="11">
    <w:p w:rsidR="001B28C7" w:rsidRPr="008509E3" w:rsidRDefault="001B28C7" w:rsidP="001B28C7">
      <w:pPr>
        <w:pStyle w:val="a8"/>
        <w:ind w:left="276"/>
        <w:rPr>
          <w:rFonts w:ascii="Simplified Arabic" w:hAnsi="Simplified Arabic" w:cs="Simplified Arabic"/>
        </w:rPr>
      </w:pPr>
      <w:r w:rsidRPr="008509E3">
        <w:rPr>
          <w:rFonts w:asciiTheme="majorBidi" w:hAnsiTheme="majorBidi" w:cstheme="majorBidi"/>
        </w:rPr>
        <w:t xml:space="preserve">. </w:t>
      </w:r>
      <w:r w:rsidRPr="008509E3">
        <w:rPr>
          <w:rStyle w:val="a9"/>
          <w:rFonts w:asciiTheme="majorBidi" w:hAnsiTheme="majorBidi" w:cstheme="majorBidi"/>
        </w:rPr>
        <w:footnoteRef/>
      </w:r>
      <w:r w:rsidRPr="008509E3">
        <w:rPr>
          <w:rFonts w:asciiTheme="majorBidi" w:hAnsiTheme="majorBidi" w:cstheme="majorBidi"/>
        </w:rPr>
        <w:t xml:space="preserve"> </w:t>
      </w:r>
      <w:r w:rsidRPr="008509E3">
        <w:rPr>
          <w:rFonts w:ascii="Simplified Arabic" w:hAnsi="Simplified Arabic" w:cs="Simplified Arabic"/>
          <w:rtl/>
        </w:rPr>
        <w:t>انظر : بروتوكول باريس الاقتصادي</w:t>
      </w:r>
      <w:r w:rsidRPr="008509E3">
        <w:rPr>
          <w:rFonts w:ascii="Simplified Arabic" w:hAnsi="Simplified Arabic" w:cs="Simplified Arabic"/>
          <w:rtl/>
          <w:lang w:bidi="ar-IQ"/>
        </w:rPr>
        <w:t>.</w:t>
      </w:r>
    </w:p>
  </w:footnote>
  <w:footnote w:id="12">
    <w:p w:rsidR="001B28C7" w:rsidRPr="008509E3" w:rsidRDefault="001B28C7" w:rsidP="001B28C7">
      <w:pPr>
        <w:ind w:left="276"/>
        <w:jc w:val="both"/>
        <w:rPr>
          <w:rFonts w:ascii="Simplified Arabic" w:hAnsi="Simplified Arabic" w:cs="Simplified Arabic"/>
          <w:sz w:val="20"/>
          <w:szCs w:val="20"/>
          <w:rtl/>
        </w:rPr>
      </w:pPr>
      <w:r w:rsidRPr="008509E3">
        <w:rPr>
          <w:rStyle w:val="a9"/>
          <w:rFonts w:ascii="Simplified Arabic" w:hAnsi="Simplified Arabic" w:cs="Simplified Arabic"/>
          <w:sz w:val="20"/>
          <w:szCs w:val="20"/>
        </w:rPr>
        <w:footnoteRef/>
      </w:r>
      <w:r w:rsidRPr="008509E3">
        <w:rPr>
          <w:rStyle w:val="a9"/>
          <w:rFonts w:ascii="Simplified Arabic" w:hAnsi="Simplified Arabic" w:cs="Simplified Arabic"/>
          <w:sz w:val="20"/>
          <w:szCs w:val="20"/>
        </w:rPr>
        <w:t xml:space="preserve"> </w:t>
      </w:r>
      <w:r w:rsidRPr="008509E3">
        <w:rPr>
          <w:rFonts w:ascii="Simplified Arabic" w:hAnsi="Simplified Arabic" w:cs="Simplified Arabic"/>
          <w:sz w:val="20"/>
          <w:szCs w:val="20"/>
          <w:rtl/>
        </w:rPr>
        <w:t>. محمد عطا الله، استعدادات سلطة النقد الفلسطينية لإصدار عملة وطنية، سلطة النقد الفلسطينية، مقدمة إلى ورشة العمل الدولية حول العملة الفلسطينية، جامعة الخليل،</w:t>
      </w:r>
      <w:r w:rsidRPr="008509E3">
        <w:rPr>
          <w:rFonts w:ascii="Simplified Arabic" w:hAnsi="Simplified Arabic" w:cs="Simplified Arabic"/>
          <w:sz w:val="20"/>
          <w:szCs w:val="20"/>
        </w:rPr>
        <w:t xml:space="preserve">2014 </w:t>
      </w:r>
      <w:r w:rsidRPr="008509E3">
        <w:rPr>
          <w:rFonts w:ascii="Simplified Arabic" w:hAnsi="Simplified Arabic" w:cs="Simplified Arabic"/>
          <w:sz w:val="20"/>
          <w:szCs w:val="20"/>
          <w:rtl/>
        </w:rPr>
        <w:t>, ص</w:t>
      </w:r>
      <w:r w:rsidRPr="008509E3">
        <w:rPr>
          <w:rFonts w:ascii="Simplified Arabic" w:hAnsi="Simplified Arabic" w:cs="Simplified Arabic"/>
          <w:sz w:val="20"/>
          <w:szCs w:val="20"/>
        </w:rPr>
        <w:t>2</w:t>
      </w:r>
      <w:r w:rsidRPr="008509E3">
        <w:rPr>
          <w:rFonts w:ascii="Simplified Arabic" w:hAnsi="Simplified Arabic" w:cs="Simplified Arabic"/>
          <w:sz w:val="20"/>
          <w:szCs w:val="20"/>
          <w:rtl/>
        </w:rPr>
        <w:t xml:space="preserve">. </w:t>
      </w:r>
    </w:p>
    <w:p w:rsidR="001B28C7" w:rsidRPr="008509E3" w:rsidRDefault="001B28C7" w:rsidP="001B28C7">
      <w:pPr>
        <w:pStyle w:val="a8"/>
        <w:rPr>
          <w:rFonts w:ascii="Simplified Arabic" w:hAnsi="Simplified Arabic" w:cs="Simplified Arabic"/>
        </w:rPr>
      </w:pPr>
    </w:p>
  </w:footnote>
  <w:footnote w:id="13">
    <w:p w:rsidR="001B28C7" w:rsidRPr="00DC55AF" w:rsidRDefault="001B28C7" w:rsidP="00DC55AF">
      <w:pPr>
        <w:spacing w:after="0"/>
        <w:ind w:left="357"/>
        <w:jc w:val="both"/>
        <w:rPr>
          <w:sz w:val="20"/>
          <w:szCs w:val="20"/>
        </w:rPr>
      </w:pPr>
      <w:r w:rsidRPr="0007058F">
        <w:rPr>
          <w:rStyle w:val="a9"/>
        </w:rPr>
        <w:footnoteRef/>
      </w:r>
      <w:r w:rsidRPr="0007058F">
        <w:t xml:space="preserve"> </w:t>
      </w:r>
      <w:r w:rsidRPr="00DC55AF">
        <w:rPr>
          <w:rFonts w:asciiTheme="majorBidi" w:hAnsiTheme="majorBidi" w:cstheme="majorBidi" w:hint="cs"/>
          <w:sz w:val="20"/>
          <w:szCs w:val="20"/>
          <w:rtl/>
        </w:rPr>
        <w:t xml:space="preserve">. </w:t>
      </w:r>
      <w:r w:rsidRPr="00DC55AF">
        <w:rPr>
          <w:rFonts w:asciiTheme="majorBidi" w:hAnsiTheme="majorBidi" w:cstheme="majorBidi"/>
          <w:sz w:val="20"/>
          <w:szCs w:val="20"/>
          <w:rtl/>
        </w:rPr>
        <w:t xml:space="preserve">عزمي عوض، أفاق ومحددات إصدار العملة الوطنية في ظل مجلس نقد فلسطيني كنظام للسياسة النقدية، مجلة جامعة الأزهر، سلسلة العلوم </w:t>
      </w:r>
      <w:proofErr w:type="spellStart"/>
      <w:r w:rsidRPr="00DC55AF">
        <w:rPr>
          <w:rFonts w:asciiTheme="majorBidi" w:hAnsiTheme="majorBidi" w:cstheme="majorBidi"/>
          <w:sz w:val="20"/>
          <w:szCs w:val="20"/>
          <w:rtl/>
        </w:rPr>
        <w:t>الإنسانية،المجلد</w:t>
      </w:r>
      <w:proofErr w:type="spellEnd"/>
      <w:r w:rsidRPr="00DC55AF">
        <w:rPr>
          <w:rFonts w:asciiTheme="majorBidi" w:hAnsiTheme="majorBidi" w:cstheme="majorBidi"/>
          <w:sz w:val="20"/>
          <w:szCs w:val="20"/>
        </w:rPr>
        <w:t xml:space="preserve">13 </w:t>
      </w:r>
      <w:r w:rsidRPr="00DC55AF">
        <w:rPr>
          <w:rFonts w:asciiTheme="majorBidi" w:hAnsiTheme="majorBidi" w:cstheme="majorBidi"/>
          <w:sz w:val="20"/>
          <w:szCs w:val="20"/>
          <w:rtl/>
        </w:rPr>
        <w:t>،العدد</w:t>
      </w:r>
      <w:r w:rsidRPr="00DC55AF">
        <w:rPr>
          <w:rFonts w:asciiTheme="majorBidi" w:hAnsiTheme="majorBidi" w:cstheme="majorBidi"/>
          <w:sz w:val="20"/>
          <w:szCs w:val="20"/>
        </w:rPr>
        <w:t>(B) 1</w:t>
      </w:r>
      <w:r w:rsidRPr="00DC55AF">
        <w:rPr>
          <w:rFonts w:asciiTheme="majorBidi" w:hAnsiTheme="majorBidi" w:cstheme="majorBidi"/>
          <w:sz w:val="20"/>
          <w:szCs w:val="20"/>
          <w:rtl/>
        </w:rPr>
        <w:t xml:space="preserve">، غزة، </w:t>
      </w:r>
      <w:r w:rsidRPr="00DC55AF">
        <w:rPr>
          <w:rFonts w:asciiTheme="majorBidi" w:hAnsiTheme="majorBidi" w:cstheme="majorBidi"/>
          <w:sz w:val="20"/>
          <w:szCs w:val="20"/>
        </w:rPr>
        <w:t>2011</w:t>
      </w:r>
      <w:r w:rsidRPr="00DC55AF">
        <w:rPr>
          <w:rFonts w:asciiTheme="majorBidi" w:hAnsiTheme="majorBidi" w:cstheme="majorBidi" w:hint="cs"/>
          <w:sz w:val="20"/>
          <w:szCs w:val="20"/>
          <w:rtl/>
        </w:rPr>
        <w:t>, ص</w:t>
      </w:r>
      <w:r w:rsidRPr="00DC55AF">
        <w:rPr>
          <w:rFonts w:asciiTheme="majorBidi" w:hAnsiTheme="majorBidi" w:cstheme="majorBidi"/>
          <w:sz w:val="20"/>
          <w:szCs w:val="20"/>
        </w:rPr>
        <w:t>1292</w:t>
      </w:r>
      <w:r w:rsidRPr="00DC55AF">
        <w:rPr>
          <w:rFonts w:asciiTheme="majorBidi" w:hAnsiTheme="majorBidi" w:cstheme="majorBidi"/>
          <w:sz w:val="20"/>
          <w:szCs w:val="20"/>
          <w:rtl/>
        </w:rPr>
        <w:t>.</w:t>
      </w:r>
    </w:p>
  </w:footnote>
  <w:footnote w:id="14">
    <w:p w:rsidR="001B28C7" w:rsidRPr="00DC55AF" w:rsidRDefault="001B28C7" w:rsidP="00DC55AF">
      <w:pPr>
        <w:spacing w:after="0"/>
        <w:ind w:left="357"/>
        <w:jc w:val="both"/>
        <w:rPr>
          <w:rFonts w:asciiTheme="majorBidi" w:hAnsiTheme="majorBidi" w:cstheme="majorBidi"/>
          <w:sz w:val="20"/>
          <w:szCs w:val="20"/>
          <w:rtl/>
        </w:rPr>
      </w:pPr>
      <w:r w:rsidRPr="00DC55AF">
        <w:rPr>
          <w:sz w:val="20"/>
          <w:szCs w:val="20"/>
        </w:rPr>
        <w:t xml:space="preserve">. </w:t>
      </w:r>
      <w:r w:rsidRPr="00DC55AF">
        <w:rPr>
          <w:rStyle w:val="a9"/>
          <w:sz w:val="20"/>
          <w:szCs w:val="20"/>
        </w:rPr>
        <w:footnoteRef/>
      </w:r>
      <w:r w:rsidRPr="00DC55AF">
        <w:rPr>
          <w:sz w:val="20"/>
          <w:szCs w:val="20"/>
        </w:rPr>
        <w:t xml:space="preserve"> </w:t>
      </w:r>
      <w:r w:rsidRPr="00DC55AF">
        <w:rPr>
          <w:rFonts w:asciiTheme="majorBidi" w:hAnsiTheme="majorBidi" w:cstheme="majorBidi"/>
          <w:sz w:val="20"/>
          <w:szCs w:val="20"/>
          <w:rtl/>
        </w:rPr>
        <w:t xml:space="preserve">أسامة حامد، السياسات النقدية في ظل غياب عملة وطنية وفي ظل مجلس عملة في الضفة الغربية وقطاع غزة، ورقة نقاش، ماس، رام الله، فلسطين، </w:t>
      </w:r>
      <w:r w:rsidRPr="00DC55AF">
        <w:rPr>
          <w:rFonts w:asciiTheme="majorBidi" w:hAnsiTheme="majorBidi" w:cstheme="majorBidi"/>
          <w:sz w:val="20"/>
          <w:szCs w:val="20"/>
        </w:rPr>
        <w:t>2000</w:t>
      </w:r>
      <w:r w:rsidRPr="00DC55AF">
        <w:rPr>
          <w:rFonts w:asciiTheme="majorBidi" w:hAnsiTheme="majorBidi" w:cstheme="majorBidi" w:hint="cs"/>
          <w:sz w:val="20"/>
          <w:szCs w:val="20"/>
          <w:rtl/>
        </w:rPr>
        <w:t>, ص</w:t>
      </w:r>
      <w:r w:rsidRPr="00DC55AF">
        <w:rPr>
          <w:rFonts w:asciiTheme="majorBidi" w:hAnsiTheme="majorBidi" w:cstheme="majorBidi"/>
          <w:sz w:val="20"/>
          <w:szCs w:val="20"/>
        </w:rPr>
        <w:t>10</w:t>
      </w:r>
      <w:r w:rsidRPr="00DC55AF">
        <w:rPr>
          <w:rFonts w:asciiTheme="majorBidi" w:hAnsiTheme="majorBidi" w:cstheme="majorBidi" w:hint="cs"/>
          <w:sz w:val="20"/>
          <w:szCs w:val="20"/>
          <w:rtl/>
        </w:rPr>
        <w:t>.</w:t>
      </w:r>
    </w:p>
    <w:p w:rsidR="001B28C7" w:rsidRDefault="001B28C7" w:rsidP="001B28C7">
      <w:pPr>
        <w:pStyle w:val="a8"/>
      </w:pPr>
    </w:p>
  </w:footnote>
  <w:footnote w:id="15">
    <w:p w:rsidR="001B28C7" w:rsidRPr="00DC55AF" w:rsidRDefault="001B28C7" w:rsidP="00DC55AF">
      <w:pPr>
        <w:spacing w:after="0"/>
        <w:ind w:left="357"/>
        <w:jc w:val="both"/>
        <w:rPr>
          <w:sz w:val="20"/>
          <w:szCs w:val="20"/>
        </w:rPr>
      </w:pPr>
      <w:r w:rsidRPr="00DC55AF">
        <w:rPr>
          <w:rStyle w:val="a9"/>
          <w:sz w:val="20"/>
          <w:szCs w:val="20"/>
        </w:rPr>
        <w:footnoteRef/>
      </w:r>
      <w:r w:rsidRPr="00DC55AF">
        <w:rPr>
          <w:rStyle w:val="a9"/>
          <w:sz w:val="20"/>
          <w:szCs w:val="20"/>
        </w:rPr>
        <w:t xml:space="preserve"> </w:t>
      </w:r>
      <w:r w:rsidRPr="00DC55AF">
        <w:rPr>
          <w:sz w:val="20"/>
          <w:szCs w:val="20"/>
        </w:rPr>
        <w:t xml:space="preserve"> </w:t>
      </w:r>
      <w:r w:rsidRPr="00DC55AF">
        <w:rPr>
          <w:rFonts w:asciiTheme="majorBidi" w:hAnsiTheme="majorBidi" w:cstheme="majorBidi" w:hint="cs"/>
          <w:sz w:val="20"/>
          <w:szCs w:val="20"/>
          <w:rtl/>
        </w:rPr>
        <w:t xml:space="preserve">. </w:t>
      </w:r>
      <w:r w:rsidRPr="00DC55AF">
        <w:rPr>
          <w:rFonts w:asciiTheme="majorBidi" w:hAnsiTheme="majorBidi" w:cstheme="majorBidi"/>
          <w:sz w:val="20"/>
          <w:szCs w:val="20"/>
          <w:rtl/>
        </w:rPr>
        <w:t>محمود عيسى، الاختلالات الهيكلية في سوق العمل الفلسطيني وسبل معالجتها، رسالة ماجستير غير منشورة، جامعة الأزهر، غزة، فلسطين،</w:t>
      </w:r>
      <w:r w:rsidRPr="00DC55AF">
        <w:rPr>
          <w:rFonts w:asciiTheme="majorBidi" w:hAnsiTheme="majorBidi" w:cstheme="majorBidi" w:hint="cs"/>
          <w:sz w:val="20"/>
          <w:szCs w:val="20"/>
          <w:rtl/>
        </w:rPr>
        <w:t xml:space="preserve"> </w:t>
      </w:r>
      <w:r w:rsidRPr="00DC55AF">
        <w:rPr>
          <w:rFonts w:asciiTheme="majorBidi" w:hAnsiTheme="majorBidi" w:cstheme="majorBidi"/>
          <w:sz w:val="20"/>
          <w:szCs w:val="20"/>
        </w:rPr>
        <w:t>2013</w:t>
      </w:r>
      <w:r w:rsidRPr="00DC55AF">
        <w:rPr>
          <w:rFonts w:asciiTheme="majorBidi" w:hAnsiTheme="majorBidi" w:cstheme="majorBidi" w:hint="cs"/>
          <w:sz w:val="20"/>
          <w:szCs w:val="20"/>
          <w:rtl/>
        </w:rPr>
        <w:t>, ص</w:t>
      </w:r>
      <w:r w:rsidRPr="00DC55AF">
        <w:rPr>
          <w:rFonts w:asciiTheme="majorBidi" w:hAnsiTheme="majorBidi" w:cstheme="majorBidi"/>
          <w:sz w:val="20"/>
          <w:szCs w:val="20"/>
        </w:rPr>
        <w:t>88</w:t>
      </w:r>
      <w:r w:rsidRPr="00DC55AF">
        <w:rPr>
          <w:rFonts w:asciiTheme="majorBidi" w:hAnsiTheme="majorBidi" w:cstheme="majorBidi" w:hint="cs"/>
          <w:sz w:val="20"/>
          <w:szCs w:val="20"/>
          <w:rtl/>
        </w:rPr>
        <w:t xml:space="preserve">. </w:t>
      </w:r>
    </w:p>
  </w:footnote>
  <w:footnote w:id="16">
    <w:p w:rsidR="001B28C7" w:rsidRPr="00DC55AF" w:rsidRDefault="001B28C7" w:rsidP="00DC55AF">
      <w:pPr>
        <w:spacing w:after="0"/>
        <w:ind w:left="357"/>
        <w:jc w:val="both"/>
        <w:rPr>
          <w:rFonts w:asciiTheme="majorBidi" w:hAnsiTheme="majorBidi" w:cstheme="majorBidi"/>
          <w:sz w:val="20"/>
          <w:szCs w:val="20"/>
          <w:rtl/>
        </w:rPr>
      </w:pPr>
      <w:r w:rsidRPr="00DC55AF">
        <w:rPr>
          <w:rStyle w:val="a9"/>
          <w:sz w:val="20"/>
          <w:szCs w:val="20"/>
        </w:rPr>
        <w:footnoteRef/>
      </w:r>
      <w:r w:rsidRPr="00DC55AF">
        <w:rPr>
          <w:rStyle w:val="a9"/>
          <w:sz w:val="20"/>
          <w:szCs w:val="20"/>
        </w:rPr>
        <w:t xml:space="preserve"> </w:t>
      </w:r>
      <w:r w:rsidRPr="00DC55AF">
        <w:rPr>
          <w:rFonts w:asciiTheme="majorBidi" w:hAnsiTheme="majorBidi" w:cstheme="majorBidi" w:hint="cs"/>
          <w:sz w:val="20"/>
          <w:szCs w:val="20"/>
          <w:rtl/>
        </w:rPr>
        <w:t xml:space="preserve">. </w:t>
      </w:r>
      <w:r w:rsidRPr="00DC55AF">
        <w:rPr>
          <w:rFonts w:asciiTheme="majorBidi" w:hAnsiTheme="majorBidi" w:cstheme="majorBidi"/>
          <w:sz w:val="20"/>
          <w:szCs w:val="20"/>
          <w:rtl/>
        </w:rPr>
        <w:t>الجهاز المركزي للإحصاء الفلسطيني، مسح القوى العاملة الفلسطينية</w:t>
      </w:r>
      <w:r w:rsidRPr="00DC55AF">
        <w:rPr>
          <w:rFonts w:asciiTheme="majorBidi" w:hAnsiTheme="majorBidi" w:cstheme="majorBidi"/>
          <w:sz w:val="20"/>
          <w:szCs w:val="20"/>
        </w:rPr>
        <w:t xml:space="preserve">: </w:t>
      </w:r>
      <w:r w:rsidRPr="00DC55AF">
        <w:rPr>
          <w:rFonts w:asciiTheme="majorBidi" w:hAnsiTheme="majorBidi" w:cstheme="majorBidi"/>
          <w:sz w:val="20"/>
          <w:szCs w:val="20"/>
          <w:rtl/>
        </w:rPr>
        <w:t xml:space="preserve"> التقرير السنوي </w:t>
      </w:r>
      <w:r w:rsidRPr="00DC55AF">
        <w:rPr>
          <w:rFonts w:asciiTheme="majorBidi" w:hAnsiTheme="majorBidi" w:cstheme="majorBidi"/>
          <w:sz w:val="20"/>
          <w:szCs w:val="20"/>
        </w:rPr>
        <w:t>2014</w:t>
      </w:r>
      <w:r w:rsidRPr="00DC55AF">
        <w:rPr>
          <w:rFonts w:asciiTheme="majorBidi" w:hAnsiTheme="majorBidi" w:cstheme="majorBidi"/>
          <w:sz w:val="20"/>
          <w:szCs w:val="20"/>
          <w:rtl/>
        </w:rPr>
        <w:t xml:space="preserve">، رام الله، فلسطين، </w:t>
      </w:r>
      <w:r w:rsidRPr="00DC55AF">
        <w:rPr>
          <w:rFonts w:asciiTheme="majorBidi" w:hAnsiTheme="majorBidi" w:cstheme="majorBidi"/>
          <w:sz w:val="20"/>
          <w:szCs w:val="20"/>
        </w:rPr>
        <w:t>2015</w:t>
      </w:r>
      <w:r w:rsidRPr="00DC55AF">
        <w:rPr>
          <w:rFonts w:asciiTheme="majorBidi" w:hAnsiTheme="majorBidi" w:cstheme="majorBidi" w:hint="cs"/>
          <w:sz w:val="20"/>
          <w:szCs w:val="20"/>
          <w:rtl/>
        </w:rPr>
        <w:t>, ص</w:t>
      </w:r>
      <w:r w:rsidRPr="00DC55AF">
        <w:rPr>
          <w:rFonts w:asciiTheme="majorBidi" w:hAnsiTheme="majorBidi" w:cstheme="majorBidi"/>
          <w:sz w:val="20"/>
          <w:szCs w:val="20"/>
        </w:rPr>
        <w:t>58</w:t>
      </w:r>
      <w:r w:rsidRPr="00DC55AF">
        <w:rPr>
          <w:rFonts w:asciiTheme="majorBidi" w:hAnsiTheme="majorBidi" w:cstheme="majorBidi" w:hint="cs"/>
          <w:sz w:val="20"/>
          <w:szCs w:val="20"/>
          <w:rtl/>
        </w:rPr>
        <w:t>.</w:t>
      </w:r>
    </w:p>
    <w:p w:rsidR="001B28C7" w:rsidRDefault="001B28C7" w:rsidP="001B28C7">
      <w:pPr>
        <w:pStyle w:val="a8"/>
      </w:pPr>
    </w:p>
  </w:footnote>
  <w:footnote w:id="17">
    <w:p w:rsidR="001B28C7" w:rsidRPr="00DC55AF" w:rsidRDefault="001B28C7" w:rsidP="00DC55AF">
      <w:pPr>
        <w:spacing w:after="0"/>
        <w:ind w:left="357"/>
        <w:jc w:val="both"/>
        <w:rPr>
          <w:rFonts w:asciiTheme="majorBidi" w:hAnsiTheme="majorBidi" w:cstheme="majorBidi"/>
          <w:sz w:val="20"/>
          <w:szCs w:val="20"/>
        </w:rPr>
      </w:pPr>
      <w:r w:rsidRPr="00DC55AF">
        <w:rPr>
          <w:rStyle w:val="a9"/>
          <w:sz w:val="20"/>
          <w:szCs w:val="20"/>
        </w:rPr>
        <w:footnoteRef/>
      </w:r>
      <w:r w:rsidRPr="00DC55AF">
        <w:rPr>
          <w:sz w:val="20"/>
          <w:szCs w:val="20"/>
        </w:rPr>
        <w:t xml:space="preserve"> </w:t>
      </w:r>
      <w:r w:rsidRPr="00DC55AF">
        <w:rPr>
          <w:rFonts w:asciiTheme="majorBidi" w:hAnsiTheme="majorBidi" w:cstheme="majorBidi" w:hint="cs"/>
          <w:sz w:val="20"/>
          <w:szCs w:val="20"/>
          <w:rtl/>
        </w:rPr>
        <w:t xml:space="preserve">. </w:t>
      </w:r>
      <w:proofErr w:type="spellStart"/>
      <w:r w:rsidRPr="00DC55AF">
        <w:rPr>
          <w:rFonts w:asciiTheme="majorBidi" w:hAnsiTheme="majorBidi" w:cstheme="majorBidi"/>
          <w:sz w:val="20"/>
          <w:szCs w:val="20"/>
          <w:rtl/>
        </w:rPr>
        <w:t>الأونكتاد</w:t>
      </w:r>
      <w:proofErr w:type="spellEnd"/>
      <w:r w:rsidRPr="00DC55AF">
        <w:rPr>
          <w:rFonts w:asciiTheme="majorBidi" w:hAnsiTheme="majorBidi" w:cstheme="majorBidi"/>
          <w:sz w:val="20"/>
          <w:szCs w:val="20"/>
          <w:rtl/>
        </w:rPr>
        <w:t xml:space="preserve">، سياسات بديلة للتنمية الفلسطينية المستدامة وتكوين الدولة، نيويورك وجنيف، </w:t>
      </w:r>
      <w:r w:rsidRPr="00DC55AF">
        <w:rPr>
          <w:rFonts w:asciiTheme="majorBidi" w:hAnsiTheme="majorBidi" w:cstheme="majorBidi"/>
          <w:sz w:val="20"/>
          <w:szCs w:val="20"/>
        </w:rPr>
        <w:t>2009</w:t>
      </w:r>
      <w:r w:rsidRPr="00DC55AF">
        <w:rPr>
          <w:rFonts w:asciiTheme="majorBidi" w:hAnsiTheme="majorBidi" w:cstheme="majorBidi" w:hint="cs"/>
          <w:sz w:val="20"/>
          <w:szCs w:val="20"/>
          <w:rtl/>
        </w:rPr>
        <w:t>, ص</w:t>
      </w:r>
      <w:r w:rsidRPr="00DC55AF">
        <w:rPr>
          <w:rFonts w:asciiTheme="majorBidi" w:hAnsiTheme="majorBidi" w:cstheme="majorBidi"/>
          <w:sz w:val="20"/>
          <w:szCs w:val="20"/>
        </w:rPr>
        <w:t>41</w:t>
      </w:r>
      <w:r w:rsidRPr="00DC55AF">
        <w:rPr>
          <w:rFonts w:asciiTheme="majorBidi" w:hAnsiTheme="majorBidi" w:cstheme="majorBidi" w:hint="cs"/>
          <w:sz w:val="20"/>
          <w:szCs w:val="20"/>
          <w:rtl/>
        </w:rPr>
        <w:t>.</w:t>
      </w:r>
      <w:r w:rsidRPr="00DC55AF">
        <w:rPr>
          <w:rFonts w:asciiTheme="majorBidi" w:hAnsiTheme="majorBidi" w:cstheme="majorBidi"/>
          <w:sz w:val="20"/>
          <w:szCs w:val="20"/>
          <w:rtl/>
        </w:rPr>
        <w:t xml:space="preserve"> </w:t>
      </w:r>
    </w:p>
    <w:p w:rsidR="001B28C7" w:rsidRDefault="001B28C7" w:rsidP="001B28C7">
      <w:pPr>
        <w:pStyle w:val="a8"/>
      </w:pPr>
    </w:p>
  </w:footnote>
  <w:footnote w:id="18">
    <w:p w:rsidR="001B28C7" w:rsidRPr="00DC55AF" w:rsidRDefault="001B28C7" w:rsidP="001B28C7">
      <w:pPr>
        <w:ind w:left="360"/>
        <w:rPr>
          <w:sz w:val="20"/>
          <w:szCs w:val="20"/>
        </w:rPr>
      </w:pPr>
      <w:r w:rsidRPr="00DC55AF">
        <w:rPr>
          <w:rStyle w:val="a9"/>
          <w:sz w:val="20"/>
          <w:szCs w:val="20"/>
        </w:rPr>
        <w:footnoteRef/>
      </w:r>
      <w:r w:rsidRPr="00DC55AF">
        <w:rPr>
          <w:sz w:val="20"/>
          <w:szCs w:val="20"/>
        </w:rPr>
        <w:t xml:space="preserve"> </w:t>
      </w:r>
      <w:r w:rsidRPr="00DC55AF">
        <w:rPr>
          <w:rFonts w:asciiTheme="majorBidi" w:hAnsiTheme="majorBidi" w:cstheme="majorBidi" w:hint="cs"/>
          <w:sz w:val="20"/>
          <w:szCs w:val="20"/>
          <w:rtl/>
        </w:rPr>
        <w:t xml:space="preserve">. </w:t>
      </w:r>
      <w:r w:rsidRPr="00DC55AF">
        <w:rPr>
          <w:rFonts w:asciiTheme="majorBidi" w:hAnsiTheme="majorBidi" w:cstheme="majorBidi"/>
          <w:sz w:val="20"/>
          <w:szCs w:val="20"/>
          <w:rtl/>
          <w:lang w:bidi="ar-IQ"/>
        </w:rPr>
        <w:t>محمد مصطفى، البترول والغاز الطبيعي في فلسطين: الإمكانات والمعوقات، مجلة الدراسات الفلسطينية، مجلد26، عدد</w:t>
      </w:r>
      <w:r w:rsidRPr="00DC55AF">
        <w:rPr>
          <w:rFonts w:asciiTheme="majorBidi" w:hAnsiTheme="majorBidi" w:cstheme="majorBidi"/>
          <w:sz w:val="20"/>
          <w:szCs w:val="20"/>
          <w:lang w:bidi="ar-IQ"/>
        </w:rPr>
        <w:t>102</w:t>
      </w:r>
      <w:r w:rsidRPr="00DC55AF">
        <w:rPr>
          <w:rFonts w:asciiTheme="majorBidi" w:hAnsiTheme="majorBidi" w:cstheme="majorBidi"/>
          <w:sz w:val="20"/>
          <w:szCs w:val="20"/>
          <w:rtl/>
          <w:lang w:bidi="ar-IQ"/>
        </w:rPr>
        <w:t xml:space="preserve">، بيروت، لبنان، </w:t>
      </w:r>
      <w:r w:rsidRPr="00DC55AF">
        <w:rPr>
          <w:rFonts w:asciiTheme="majorBidi" w:hAnsiTheme="majorBidi" w:cstheme="majorBidi"/>
          <w:sz w:val="20"/>
          <w:szCs w:val="20"/>
          <w:lang w:bidi="ar-IQ"/>
        </w:rPr>
        <w:t>2015</w:t>
      </w:r>
      <w:r w:rsidRPr="00DC55AF">
        <w:rPr>
          <w:rFonts w:asciiTheme="majorBidi" w:hAnsiTheme="majorBidi" w:cstheme="majorBidi" w:hint="cs"/>
          <w:sz w:val="20"/>
          <w:szCs w:val="20"/>
          <w:rtl/>
        </w:rPr>
        <w:t>, ص</w:t>
      </w:r>
      <w:r w:rsidRPr="00DC55AF">
        <w:rPr>
          <w:rFonts w:asciiTheme="majorBidi" w:hAnsiTheme="majorBidi" w:cstheme="majorBidi"/>
          <w:sz w:val="20"/>
          <w:szCs w:val="20"/>
        </w:rPr>
        <w:t>73</w:t>
      </w:r>
      <w:r w:rsidRPr="00DC55AF">
        <w:rPr>
          <w:rFonts w:asciiTheme="majorBidi" w:hAnsiTheme="majorBidi" w:cstheme="majorBidi" w:hint="cs"/>
          <w:sz w:val="20"/>
          <w:szCs w:val="20"/>
          <w:rtl/>
        </w:rPr>
        <w:t>.</w:t>
      </w:r>
    </w:p>
  </w:footnote>
  <w:footnote w:id="19">
    <w:p w:rsidR="001B28C7" w:rsidRPr="00DC55AF" w:rsidRDefault="001B28C7" w:rsidP="00DC55AF">
      <w:pPr>
        <w:spacing w:after="0"/>
        <w:ind w:left="357"/>
        <w:rPr>
          <w:sz w:val="20"/>
          <w:szCs w:val="20"/>
        </w:rPr>
      </w:pPr>
      <w:r w:rsidRPr="00DC55AF">
        <w:rPr>
          <w:rStyle w:val="a9"/>
          <w:sz w:val="20"/>
          <w:szCs w:val="20"/>
        </w:rPr>
        <w:footnoteRef/>
      </w:r>
      <w:r w:rsidRPr="00DC55AF">
        <w:rPr>
          <w:sz w:val="20"/>
          <w:szCs w:val="20"/>
        </w:rPr>
        <w:t xml:space="preserve"> </w:t>
      </w:r>
      <w:r w:rsidRPr="00DC55AF">
        <w:rPr>
          <w:rFonts w:asciiTheme="majorBidi" w:hAnsiTheme="majorBidi" w:cstheme="majorBidi" w:hint="cs"/>
          <w:sz w:val="20"/>
          <w:szCs w:val="20"/>
          <w:rtl/>
          <w:lang w:bidi="ar-IQ"/>
        </w:rPr>
        <w:t xml:space="preserve">. </w:t>
      </w:r>
      <w:r w:rsidRPr="00DC55AF">
        <w:rPr>
          <w:rFonts w:asciiTheme="majorBidi" w:hAnsiTheme="majorBidi" w:cstheme="majorBidi"/>
          <w:sz w:val="20"/>
          <w:szCs w:val="20"/>
          <w:rtl/>
          <w:lang w:bidi="ar-IQ"/>
        </w:rPr>
        <w:t xml:space="preserve">محمد مصطفى، </w:t>
      </w:r>
      <w:r w:rsidRPr="00DC55AF">
        <w:rPr>
          <w:rFonts w:asciiTheme="majorBidi" w:hAnsiTheme="majorBidi" w:cstheme="majorBidi" w:hint="cs"/>
          <w:sz w:val="20"/>
          <w:szCs w:val="20"/>
          <w:rtl/>
        </w:rPr>
        <w:t>مرجع سبق ذكره, ص</w:t>
      </w:r>
      <w:r w:rsidRPr="00DC55AF">
        <w:rPr>
          <w:rFonts w:asciiTheme="majorBidi" w:hAnsiTheme="majorBidi" w:cstheme="majorBidi"/>
          <w:sz w:val="20"/>
          <w:szCs w:val="20"/>
        </w:rPr>
        <w:t>72</w:t>
      </w:r>
      <w:r w:rsidRPr="00DC55AF">
        <w:rPr>
          <w:rFonts w:asciiTheme="majorBidi" w:hAnsiTheme="majorBidi" w:cstheme="majorBidi" w:hint="cs"/>
          <w:sz w:val="20"/>
          <w:szCs w:val="20"/>
          <w:rtl/>
        </w:rPr>
        <w:t>.</w:t>
      </w:r>
    </w:p>
  </w:footnote>
  <w:footnote w:id="20">
    <w:p w:rsidR="001B28C7" w:rsidRPr="00DC55AF" w:rsidRDefault="001B28C7" w:rsidP="00DC55AF">
      <w:pPr>
        <w:spacing w:after="0"/>
        <w:ind w:left="357"/>
        <w:rPr>
          <w:rFonts w:asciiTheme="majorBidi" w:hAnsiTheme="majorBidi" w:cstheme="majorBidi"/>
          <w:sz w:val="20"/>
          <w:szCs w:val="20"/>
          <w:rtl/>
        </w:rPr>
      </w:pPr>
      <w:r w:rsidRPr="00DC55AF">
        <w:rPr>
          <w:rStyle w:val="a9"/>
          <w:sz w:val="20"/>
          <w:szCs w:val="20"/>
        </w:rPr>
        <w:footnoteRef/>
      </w:r>
      <w:r w:rsidRPr="00DC55AF">
        <w:rPr>
          <w:rStyle w:val="a9"/>
          <w:sz w:val="20"/>
          <w:szCs w:val="20"/>
        </w:rPr>
        <w:t xml:space="preserve"> </w:t>
      </w:r>
      <w:r w:rsidRPr="00DC55AF">
        <w:rPr>
          <w:rFonts w:asciiTheme="majorBidi" w:hAnsiTheme="majorBidi" w:cstheme="majorBidi" w:hint="cs"/>
          <w:sz w:val="20"/>
          <w:szCs w:val="20"/>
          <w:rtl/>
          <w:lang w:bidi="ar-IQ"/>
        </w:rPr>
        <w:t xml:space="preserve">. </w:t>
      </w:r>
      <w:r w:rsidRPr="00DC55AF">
        <w:rPr>
          <w:rFonts w:asciiTheme="majorBidi" w:hAnsiTheme="majorBidi" w:cstheme="majorBidi"/>
          <w:sz w:val="20"/>
          <w:szCs w:val="20"/>
          <w:rtl/>
          <w:lang w:bidi="ar-IQ"/>
        </w:rPr>
        <w:t>وليد خوري، احتياطي الغاز الطبيعي في المياه الإقليمية الفلسطينية: الإمكانات والتحديات، مجلة الدراسات الفلسطينية، مجلد</w:t>
      </w:r>
      <w:r w:rsidRPr="00DC55AF">
        <w:rPr>
          <w:rFonts w:asciiTheme="majorBidi" w:hAnsiTheme="majorBidi" w:cstheme="majorBidi"/>
          <w:sz w:val="20"/>
          <w:szCs w:val="20"/>
          <w:lang w:bidi="ar-IQ"/>
        </w:rPr>
        <w:t>18</w:t>
      </w:r>
      <w:r w:rsidRPr="00DC55AF">
        <w:rPr>
          <w:rFonts w:asciiTheme="majorBidi" w:hAnsiTheme="majorBidi" w:cstheme="majorBidi"/>
          <w:sz w:val="20"/>
          <w:szCs w:val="20"/>
          <w:rtl/>
          <w:lang w:bidi="ar-IQ"/>
        </w:rPr>
        <w:t>، عدد</w:t>
      </w:r>
      <w:r w:rsidRPr="00DC55AF">
        <w:rPr>
          <w:rFonts w:asciiTheme="majorBidi" w:hAnsiTheme="majorBidi" w:cstheme="majorBidi"/>
          <w:sz w:val="20"/>
          <w:szCs w:val="20"/>
          <w:lang w:bidi="ar-IQ"/>
        </w:rPr>
        <w:t>72</w:t>
      </w:r>
      <w:r w:rsidRPr="00DC55AF">
        <w:rPr>
          <w:rFonts w:asciiTheme="majorBidi" w:hAnsiTheme="majorBidi" w:cstheme="majorBidi"/>
          <w:sz w:val="20"/>
          <w:szCs w:val="20"/>
          <w:rtl/>
          <w:lang w:bidi="ar-IQ"/>
        </w:rPr>
        <w:t xml:space="preserve">، بيروت، لبنان، </w:t>
      </w:r>
      <w:r w:rsidRPr="00DC55AF">
        <w:rPr>
          <w:rFonts w:asciiTheme="majorBidi" w:hAnsiTheme="majorBidi" w:cstheme="majorBidi"/>
          <w:sz w:val="20"/>
          <w:szCs w:val="20"/>
          <w:lang w:bidi="ar-IQ"/>
        </w:rPr>
        <w:t>2007</w:t>
      </w:r>
      <w:r w:rsidRPr="00DC55AF">
        <w:rPr>
          <w:rFonts w:asciiTheme="majorBidi" w:hAnsiTheme="majorBidi" w:cstheme="majorBidi" w:hint="cs"/>
          <w:sz w:val="20"/>
          <w:szCs w:val="20"/>
          <w:rtl/>
        </w:rPr>
        <w:t xml:space="preserve">, </w:t>
      </w:r>
      <w:r w:rsidRPr="00DC55AF">
        <w:rPr>
          <w:rFonts w:asciiTheme="majorBidi" w:hAnsiTheme="majorBidi" w:cstheme="majorBidi" w:hint="cs"/>
          <w:sz w:val="20"/>
          <w:szCs w:val="20"/>
          <w:rtl/>
          <w:lang w:bidi="ar-IQ"/>
        </w:rPr>
        <w:t>ص</w:t>
      </w:r>
      <w:r w:rsidRPr="00DC55AF">
        <w:rPr>
          <w:rFonts w:asciiTheme="majorBidi" w:hAnsiTheme="majorBidi" w:cstheme="majorBidi"/>
          <w:sz w:val="20"/>
          <w:szCs w:val="20"/>
          <w:lang w:bidi="ar-IQ"/>
        </w:rPr>
        <w:t>26</w:t>
      </w:r>
      <w:r w:rsidRPr="00DC55AF">
        <w:rPr>
          <w:rFonts w:asciiTheme="majorBidi" w:hAnsiTheme="majorBidi" w:cstheme="majorBidi" w:hint="cs"/>
          <w:sz w:val="20"/>
          <w:szCs w:val="20"/>
          <w:rtl/>
        </w:rPr>
        <w:t>.</w:t>
      </w:r>
    </w:p>
    <w:p w:rsidR="001B28C7" w:rsidRDefault="001B28C7" w:rsidP="001B28C7">
      <w:pPr>
        <w:pStyle w:val="a8"/>
      </w:pPr>
    </w:p>
  </w:footnote>
  <w:footnote w:id="21">
    <w:p w:rsidR="001B28C7" w:rsidRPr="00DD7EEB" w:rsidRDefault="001B28C7" w:rsidP="00DD7EEB">
      <w:pPr>
        <w:spacing w:after="0"/>
        <w:ind w:left="357"/>
        <w:rPr>
          <w:rFonts w:ascii="Simplified Arabic" w:hAnsi="Simplified Arabic" w:cs="Simplified Arabic"/>
          <w:sz w:val="18"/>
          <w:szCs w:val="18"/>
          <w:lang w:bidi="ar-IQ"/>
        </w:rPr>
      </w:pPr>
      <w:r w:rsidRPr="00DC55AF">
        <w:rPr>
          <w:rStyle w:val="a9"/>
          <w:rFonts w:ascii="Simplified Arabic" w:hAnsi="Simplified Arabic" w:cs="Simplified Arabic"/>
          <w:sz w:val="18"/>
          <w:szCs w:val="18"/>
        </w:rPr>
        <w:footnoteRef/>
      </w:r>
      <w:r w:rsidRPr="00DC55AF">
        <w:rPr>
          <w:rFonts w:ascii="Simplified Arabic" w:hAnsi="Simplified Arabic" w:cs="Simplified Arabic"/>
          <w:sz w:val="18"/>
          <w:szCs w:val="18"/>
        </w:rPr>
        <w:t xml:space="preserve"> </w:t>
      </w:r>
      <w:r w:rsidRPr="00DC55AF">
        <w:rPr>
          <w:rFonts w:ascii="Simplified Arabic" w:hAnsi="Simplified Arabic" w:cs="Simplified Arabic"/>
          <w:sz w:val="18"/>
          <w:szCs w:val="18"/>
          <w:rtl/>
          <w:lang w:bidi="ar-IQ"/>
        </w:rPr>
        <w:t>. البنك الدولي، الضفة الغربية وقطاع غزة المنطقة ج ومستقبل الاقتصاد الفلسطيني، رقم التقرير</w:t>
      </w:r>
      <w:r w:rsidRPr="00DC55AF">
        <w:rPr>
          <w:rFonts w:ascii="Simplified Arabic" w:hAnsi="Simplified Arabic" w:cs="Simplified Arabic"/>
          <w:sz w:val="18"/>
          <w:szCs w:val="18"/>
          <w:lang w:bidi="ar-IQ"/>
        </w:rPr>
        <w:t xml:space="preserve"> AUS2922</w:t>
      </w:r>
      <w:r w:rsidRPr="00DC55AF">
        <w:rPr>
          <w:rFonts w:ascii="Simplified Arabic" w:hAnsi="Simplified Arabic" w:cs="Simplified Arabic"/>
          <w:sz w:val="18"/>
          <w:szCs w:val="18"/>
          <w:rtl/>
          <w:lang w:bidi="ar-IQ"/>
        </w:rPr>
        <w:t xml:space="preserve">، أكتوبر </w:t>
      </w:r>
      <w:r w:rsidRPr="00DC55AF">
        <w:rPr>
          <w:rFonts w:ascii="Simplified Arabic" w:hAnsi="Simplified Arabic" w:cs="Simplified Arabic"/>
          <w:sz w:val="18"/>
          <w:szCs w:val="18"/>
          <w:lang w:bidi="ar-IQ"/>
        </w:rPr>
        <w:t>2013,2</w:t>
      </w:r>
      <w:r w:rsidRPr="00DC55AF">
        <w:rPr>
          <w:rFonts w:ascii="Simplified Arabic" w:hAnsi="Simplified Arabic" w:cs="Simplified Arabic"/>
          <w:sz w:val="18"/>
          <w:szCs w:val="18"/>
          <w:rtl/>
          <w:lang w:bidi="ar-IQ"/>
        </w:rPr>
        <w:t>, ص</w:t>
      </w:r>
      <w:r w:rsidRPr="00DC55AF">
        <w:rPr>
          <w:rFonts w:ascii="Simplified Arabic" w:hAnsi="Simplified Arabic" w:cs="Simplified Arabic"/>
          <w:sz w:val="18"/>
          <w:szCs w:val="18"/>
          <w:lang w:bidi="ar-IQ"/>
        </w:rPr>
        <w:t>8-1</w:t>
      </w:r>
      <w:r w:rsidRPr="00DC55AF">
        <w:rPr>
          <w:rFonts w:ascii="Simplified Arabic" w:hAnsi="Simplified Arabic" w:cs="Simplified Arabic"/>
          <w:sz w:val="18"/>
          <w:szCs w:val="18"/>
          <w:rtl/>
        </w:rPr>
        <w:t>.</w:t>
      </w:r>
    </w:p>
  </w:footnote>
  <w:footnote w:id="22">
    <w:p w:rsidR="001B28C7" w:rsidRPr="00DD7EEB" w:rsidRDefault="001B28C7" w:rsidP="00DD7EEB">
      <w:pPr>
        <w:spacing w:after="0"/>
        <w:ind w:left="357"/>
        <w:jc w:val="both"/>
        <w:rPr>
          <w:rFonts w:ascii="Simplified Arabic" w:hAnsi="Simplified Arabic" w:cs="Simplified Arabic"/>
          <w:sz w:val="18"/>
          <w:szCs w:val="18"/>
          <w:lang w:bidi="ar-IQ"/>
        </w:rPr>
      </w:pPr>
      <w:r w:rsidRPr="00DD7EEB">
        <w:rPr>
          <w:rFonts w:ascii="Simplified Arabic" w:hAnsi="Simplified Arabic" w:cs="Simplified Arabic"/>
          <w:sz w:val="18"/>
          <w:szCs w:val="18"/>
          <w:lang w:bidi="ar-IQ"/>
        </w:rPr>
        <w:footnoteRef/>
      </w:r>
      <w:r w:rsidRPr="00DD7EEB">
        <w:rPr>
          <w:rFonts w:ascii="Simplified Arabic" w:hAnsi="Simplified Arabic" w:cs="Simplified Arabic"/>
          <w:sz w:val="18"/>
          <w:szCs w:val="18"/>
          <w:lang w:bidi="ar-IQ"/>
        </w:rPr>
        <w:t xml:space="preserve"> </w:t>
      </w:r>
      <w:r w:rsidRPr="00DD7EEB">
        <w:rPr>
          <w:rFonts w:ascii="Simplified Arabic" w:hAnsi="Simplified Arabic" w:cs="Simplified Arabic" w:hint="cs"/>
          <w:sz w:val="18"/>
          <w:szCs w:val="18"/>
          <w:rtl/>
          <w:lang w:bidi="ar-IQ"/>
        </w:rPr>
        <w:t xml:space="preserve">. </w:t>
      </w:r>
      <w:r w:rsidRPr="00DD7EEB">
        <w:rPr>
          <w:rFonts w:ascii="Simplified Arabic" w:hAnsi="Simplified Arabic" w:cs="Simplified Arabic"/>
          <w:sz w:val="18"/>
          <w:szCs w:val="18"/>
          <w:rtl/>
          <w:lang w:bidi="ar-IQ"/>
        </w:rPr>
        <w:t xml:space="preserve">الأمم المتحدة وبرنامج الأغذية العالمي، بين الجدار والسندان، تقرير خاص، آب </w:t>
      </w:r>
      <w:r w:rsidRPr="00DD7EEB">
        <w:rPr>
          <w:rFonts w:ascii="Simplified Arabic" w:hAnsi="Simplified Arabic" w:cs="Simplified Arabic"/>
          <w:sz w:val="18"/>
          <w:szCs w:val="18"/>
          <w:lang w:bidi="ar-IQ"/>
        </w:rPr>
        <w:t>2010</w:t>
      </w:r>
      <w:r w:rsidRPr="00DD7EEB">
        <w:rPr>
          <w:rFonts w:ascii="Simplified Arabic" w:hAnsi="Simplified Arabic" w:cs="Simplified Arabic" w:hint="cs"/>
          <w:sz w:val="18"/>
          <w:szCs w:val="18"/>
          <w:rtl/>
          <w:lang w:bidi="ar-IQ"/>
        </w:rPr>
        <w:t>, ص</w:t>
      </w:r>
      <w:r w:rsidRPr="00DD7EEB">
        <w:rPr>
          <w:rFonts w:ascii="Simplified Arabic" w:hAnsi="Simplified Arabic" w:cs="Simplified Arabic"/>
          <w:sz w:val="18"/>
          <w:szCs w:val="18"/>
          <w:lang w:bidi="ar-IQ"/>
        </w:rPr>
        <w:t>10</w:t>
      </w:r>
      <w:r w:rsidRPr="00DD7EEB">
        <w:rPr>
          <w:rFonts w:ascii="Simplified Arabic" w:hAnsi="Simplified Arabic" w:cs="Simplified Arabic" w:hint="cs"/>
          <w:sz w:val="18"/>
          <w:szCs w:val="18"/>
          <w:rtl/>
          <w:lang w:bidi="ar-IQ"/>
        </w:rPr>
        <w:t>.</w:t>
      </w:r>
    </w:p>
  </w:footnote>
  <w:footnote w:id="23">
    <w:p w:rsidR="001B28C7" w:rsidRPr="00DD7EEB" w:rsidRDefault="001B28C7" w:rsidP="00DD7EEB">
      <w:pPr>
        <w:spacing w:after="0"/>
        <w:ind w:left="357"/>
        <w:rPr>
          <w:rStyle w:val="a9"/>
          <w:rFonts w:ascii="Simplified Arabic" w:hAnsi="Simplified Arabic" w:cs="Simplified Arabic"/>
          <w:sz w:val="18"/>
          <w:szCs w:val="18"/>
          <w:rtl/>
        </w:rPr>
      </w:pPr>
      <w:r w:rsidRPr="00DD7EEB">
        <w:rPr>
          <w:rStyle w:val="a9"/>
          <w:rFonts w:ascii="Simplified Arabic" w:hAnsi="Simplified Arabic" w:cs="Simplified Arabic"/>
          <w:sz w:val="18"/>
          <w:szCs w:val="18"/>
        </w:rPr>
        <w:footnoteRef/>
      </w:r>
      <w:r w:rsidRPr="00DD7EEB">
        <w:rPr>
          <w:rStyle w:val="a9"/>
          <w:rFonts w:ascii="Simplified Arabic" w:hAnsi="Simplified Arabic" w:cs="Simplified Arabic"/>
          <w:sz w:val="18"/>
          <w:szCs w:val="18"/>
        </w:rPr>
        <w:t xml:space="preserve"> </w:t>
      </w:r>
      <w:r w:rsidRPr="00DD7EEB">
        <w:rPr>
          <w:rStyle w:val="a9"/>
          <w:rFonts w:ascii="Simplified Arabic" w:hAnsi="Simplified Arabic" w:cs="Simplified Arabic" w:hint="cs"/>
          <w:sz w:val="18"/>
          <w:szCs w:val="18"/>
          <w:rtl/>
        </w:rPr>
        <w:t>. نفس المرجع السابق, ص</w:t>
      </w:r>
      <w:r w:rsidRPr="00DD7EEB">
        <w:rPr>
          <w:rStyle w:val="a9"/>
          <w:rFonts w:ascii="Simplified Arabic" w:hAnsi="Simplified Arabic" w:cs="Simplified Arabic"/>
          <w:sz w:val="18"/>
          <w:szCs w:val="18"/>
        </w:rPr>
        <w:t>12</w:t>
      </w:r>
      <w:r w:rsidRPr="00DD7EEB">
        <w:rPr>
          <w:rStyle w:val="a9"/>
          <w:rFonts w:ascii="Simplified Arabic" w:hAnsi="Simplified Arabic" w:cs="Simplified Arabic" w:hint="cs"/>
          <w:sz w:val="18"/>
          <w:szCs w:val="18"/>
          <w:rtl/>
        </w:rPr>
        <w:t>.</w:t>
      </w:r>
    </w:p>
  </w:footnote>
  <w:footnote w:id="24">
    <w:p w:rsidR="001B28C7" w:rsidRPr="00DD7EEB" w:rsidRDefault="001B28C7" w:rsidP="00DD7EEB">
      <w:pPr>
        <w:spacing w:after="0"/>
        <w:ind w:left="357"/>
        <w:rPr>
          <w:rStyle w:val="a9"/>
          <w:rFonts w:ascii="Simplified Arabic" w:hAnsi="Simplified Arabic" w:cs="Simplified Arabic"/>
          <w:sz w:val="18"/>
          <w:szCs w:val="18"/>
          <w:rtl/>
        </w:rPr>
      </w:pPr>
      <w:r w:rsidRPr="00DD7EEB">
        <w:rPr>
          <w:rStyle w:val="a9"/>
          <w:rFonts w:ascii="Simplified Arabic" w:hAnsi="Simplified Arabic" w:cs="Simplified Arabic"/>
          <w:sz w:val="18"/>
          <w:szCs w:val="18"/>
        </w:rPr>
        <w:footnoteRef/>
      </w:r>
      <w:r w:rsidRPr="00DD7EEB">
        <w:rPr>
          <w:rStyle w:val="a9"/>
          <w:rFonts w:ascii="Simplified Arabic" w:hAnsi="Simplified Arabic" w:cs="Simplified Arabic"/>
          <w:sz w:val="18"/>
          <w:szCs w:val="18"/>
        </w:rPr>
        <w:t xml:space="preserve"> </w:t>
      </w:r>
      <w:r w:rsidRPr="00DD7EEB">
        <w:rPr>
          <w:rStyle w:val="a9"/>
          <w:rFonts w:ascii="Simplified Arabic" w:hAnsi="Simplified Arabic" w:cs="Simplified Arabic" w:hint="cs"/>
          <w:sz w:val="18"/>
          <w:szCs w:val="18"/>
          <w:rtl/>
        </w:rPr>
        <w:t>. الأمم المتحدة, مرجع سبق ذكره, ص</w:t>
      </w:r>
      <w:r w:rsidRPr="00DD7EEB">
        <w:rPr>
          <w:rStyle w:val="a9"/>
          <w:rFonts w:ascii="Simplified Arabic" w:hAnsi="Simplified Arabic" w:cs="Simplified Arabic"/>
          <w:sz w:val="18"/>
          <w:szCs w:val="18"/>
        </w:rPr>
        <w:t>25-24</w:t>
      </w:r>
      <w:r w:rsidRPr="00DD7EEB">
        <w:rPr>
          <w:rStyle w:val="a9"/>
          <w:rFonts w:ascii="Simplified Arabic" w:hAnsi="Simplified Arabic" w:cs="Simplified Arabic" w:hint="cs"/>
          <w:sz w:val="18"/>
          <w:szCs w:val="18"/>
          <w:rtl/>
        </w:rPr>
        <w:t>.</w:t>
      </w:r>
    </w:p>
  </w:footnote>
  <w:footnote w:id="25">
    <w:p w:rsidR="001B28C7" w:rsidRPr="00DD7EEB" w:rsidRDefault="001B28C7" w:rsidP="00DD7EEB">
      <w:pPr>
        <w:spacing w:after="0"/>
        <w:ind w:left="357"/>
        <w:rPr>
          <w:rStyle w:val="a9"/>
          <w:rFonts w:ascii="Simplified Arabic" w:hAnsi="Simplified Arabic" w:cs="Simplified Arabic"/>
          <w:sz w:val="18"/>
          <w:szCs w:val="18"/>
        </w:rPr>
      </w:pPr>
      <w:r w:rsidRPr="00DD7EEB">
        <w:rPr>
          <w:rStyle w:val="a9"/>
          <w:rFonts w:ascii="Simplified Arabic" w:hAnsi="Simplified Arabic" w:cs="Simplified Arabic"/>
          <w:sz w:val="18"/>
          <w:szCs w:val="18"/>
        </w:rPr>
        <w:footnoteRef/>
      </w:r>
      <w:r w:rsidRPr="00DD7EEB">
        <w:rPr>
          <w:rStyle w:val="a9"/>
          <w:rFonts w:ascii="Simplified Arabic" w:hAnsi="Simplified Arabic" w:cs="Simplified Arabic"/>
          <w:sz w:val="18"/>
          <w:szCs w:val="18"/>
        </w:rPr>
        <w:t xml:space="preserve"> </w:t>
      </w:r>
      <w:r w:rsidRPr="00DD7EEB">
        <w:rPr>
          <w:rStyle w:val="a9"/>
          <w:rFonts w:ascii="Simplified Arabic" w:hAnsi="Simplified Arabic" w:cs="Simplified Arabic" w:hint="cs"/>
          <w:sz w:val="18"/>
          <w:szCs w:val="18"/>
          <w:rtl/>
        </w:rPr>
        <w:t xml:space="preserve">. </w:t>
      </w:r>
      <w:r w:rsidRPr="00DD7EEB">
        <w:rPr>
          <w:rStyle w:val="a9"/>
          <w:rFonts w:ascii="Simplified Arabic" w:hAnsi="Simplified Arabic" w:cs="Simplified Arabic"/>
          <w:sz w:val="18"/>
          <w:szCs w:val="18"/>
          <w:rtl/>
        </w:rPr>
        <w:t xml:space="preserve">أيمن فواضلة, سياسات التنمية الاجتماعية الشاملة: المضمون والآليات (تجربة دولة فلسطين), ورقة بحثية مقدمة في اجتماع فريق الخبراء حول " التنمية الاجتماعية الشاملة في المنطقة العربية", بيروت </w:t>
      </w:r>
      <w:r w:rsidRPr="00DD7EEB">
        <w:rPr>
          <w:rStyle w:val="a9"/>
          <w:rFonts w:ascii="Simplified Arabic" w:hAnsi="Simplified Arabic" w:cs="Simplified Arabic"/>
          <w:sz w:val="18"/>
          <w:szCs w:val="18"/>
        </w:rPr>
        <w:t>5-4</w:t>
      </w:r>
      <w:r w:rsidRPr="00DD7EEB">
        <w:rPr>
          <w:rStyle w:val="a9"/>
          <w:rFonts w:ascii="Simplified Arabic" w:hAnsi="Simplified Arabic" w:cs="Simplified Arabic"/>
          <w:sz w:val="18"/>
          <w:szCs w:val="18"/>
          <w:rtl/>
        </w:rPr>
        <w:t xml:space="preserve"> تشرين الثاني </w:t>
      </w:r>
      <w:r w:rsidRPr="00DD7EEB">
        <w:rPr>
          <w:rStyle w:val="a9"/>
          <w:rFonts w:ascii="Simplified Arabic" w:hAnsi="Simplified Arabic" w:cs="Simplified Arabic"/>
          <w:sz w:val="18"/>
          <w:szCs w:val="18"/>
        </w:rPr>
        <w:t>2014</w:t>
      </w:r>
      <w:r w:rsidRPr="00DD7EEB">
        <w:rPr>
          <w:rStyle w:val="a9"/>
          <w:rFonts w:ascii="Simplified Arabic" w:hAnsi="Simplified Arabic" w:cs="Simplified Arabic" w:hint="cs"/>
          <w:sz w:val="18"/>
          <w:szCs w:val="18"/>
          <w:rtl/>
        </w:rPr>
        <w:t>, ص</w:t>
      </w:r>
      <w:r w:rsidRPr="00DD7EEB">
        <w:rPr>
          <w:rStyle w:val="a9"/>
          <w:rFonts w:ascii="Simplified Arabic" w:hAnsi="Simplified Arabic" w:cs="Simplified Arabic"/>
          <w:sz w:val="18"/>
          <w:szCs w:val="18"/>
        </w:rPr>
        <w:t>14</w:t>
      </w:r>
      <w:r w:rsidRPr="00DD7EEB">
        <w:rPr>
          <w:rStyle w:val="a9"/>
          <w:rFonts w:ascii="Simplified Arabic" w:hAnsi="Simplified Arabic" w:cs="Simplified Arabic" w:hint="cs"/>
          <w:sz w:val="18"/>
          <w:szCs w:val="18"/>
          <w:rtl/>
        </w:rPr>
        <w:t>.</w:t>
      </w:r>
    </w:p>
  </w:footnote>
  <w:footnote w:id="26">
    <w:p w:rsidR="001B28C7" w:rsidRPr="00DD7EEB" w:rsidRDefault="001B28C7" w:rsidP="00DD7EEB">
      <w:pPr>
        <w:spacing w:after="0"/>
        <w:ind w:left="357"/>
        <w:rPr>
          <w:rStyle w:val="a9"/>
          <w:rFonts w:ascii="Simplified Arabic" w:hAnsi="Simplified Arabic" w:cs="Simplified Arabic"/>
          <w:sz w:val="18"/>
          <w:szCs w:val="18"/>
          <w:rtl/>
        </w:rPr>
      </w:pPr>
      <w:r w:rsidRPr="00DD7EEB">
        <w:rPr>
          <w:rStyle w:val="a9"/>
          <w:rFonts w:ascii="Simplified Arabic" w:hAnsi="Simplified Arabic" w:cs="Simplified Arabic"/>
          <w:sz w:val="18"/>
          <w:szCs w:val="18"/>
        </w:rPr>
        <w:footnoteRef/>
      </w:r>
      <w:r w:rsidRPr="00DD7EEB">
        <w:rPr>
          <w:rStyle w:val="a9"/>
          <w:rFonts w:ascii="Simplified Arabic" w:hAnsi="Simplified Arabic" w:cs="Simplified Arabic"/>
          <w:sz w:val="18"/>
          <w:szCs w:val="18"/>
        </w:rPr>
        <w:t xml:space="preserve"> </w:t>
      </w:r>
      <w:r w:rsidRPr="00DD7EEB">
        <w:rPr>
          <w:rStyle w:val="a9"/>
          <w:rFonts w:ascii="Simplified Arabic" w:hAnsi="Simplified Arabic" w:cs="Simplified Arabic" w:hint="cs"/>
          <w:sz w:val="18"/>
          <w:szCs w:val="18"/>
          <w:rtl/>
        </w:rPr>
        <w:t xml:space="preserve">. </w:t>
      </w:r>
      <w:r w:rsidRPr="00DD7EEB">
        <w:rPr>
          <w:rStyle w:val="a9"/>
          <w:rFonts w:ascii="Simplified Arabic" w:hAnsi="Simplified Arabic" w:cs="Simplified Arabic"/>
          <w:sz w:val="18"/>
          <w:szCs w:val="18"/>
          <w:rtl/>
        </w:rPr>
        <w:t xml:space="preserve">أيمن فواضلة, </w:t>
      </w:r>
      <w:r w:rsidRPr="00DD7EEB">
        <w:rPr>
          <w:rStyle w:val="a9"/>
          <w:rFonts w:ascii="Simplified Arabic" w:hAnsi="Simplified Arabic" w:cs="Simplified Arabic" w:hint="cs"/>
          <w:sz w:val="18"/>
          <w:szCs w:val="18"/>
          <w:rtl/>
        </w:rPr>
        <w:t xml:space="preserve">مرجع سبق ذكره, </w:t>
      </w:r>
      <w:r w:rsidRPr="00DD7EEB">
        <w:rPr>
          <w:rStyle w:val="a9"/>
          <w:rFonts w:ascii="Simplified Arabic" w:hAnsi="Simplified Arabic" w:cs="Simplified Arabic"/>
          <w:sz w:val="18"/>
          <w:szCs w:val="18"/>
        </w:rPr>
        <w:t>14</w:t>
      </w:r>
      <w:r w:rsidRPr="00DD7EEB">
        <w:rPr>
          <w:rStyle w:val="a9"/>
          <w:rFonts w:ascii="Simplified Arabic" w:hAnsi="Simplified Arabic" w:cs="Simplified Arabic"/>
          <w:sz w:val="18"/>
          <w:szCs w:val="18"/>
          <w:rtl/>
        </w:rPr>
        <w:t>.</w:t>
      </w:r>
    </w:p>
  </w:footnote>
  <w:footnote w:id="27">
    <w:p w:rsidR="001B28C7" w:rsidRPr="00DD7EEB" w:rsidRDefault="001B28C7" w:rsidP="00DD7EEB">
      <w:pPr>
        <w:spacing w:after="0"/>
        <w:ind w:left="357"/>
        <w:rPr>
          <w:rStyle w:val="a9"/>
          <w:rFonts w:ascii="Simplified Arabic" w:hAnsi="Simplified Arabic" w:cs="Simplified Arabic"/>
          <w:sz w:val="18"/>
          <w:szCs w:val="18"/>
          <w:rtl/>
        </w:rPr>
      </w:pPr>
      <w:r w:rsidRPr="00DD7EEB">
        <w:rPr>
          <w:rStyle w:val="a9"/>
          <w:rFonts w:ascii="Simplified Arabic" w:hAnsi="Simplified Arabic" w:cs="Simplified Arabic"/>
          <w:sz w:val="18"/>
          <w:szCs w:val="18"/>
        </w:rPr>
        <w:footnoteRef/>
      </w:r>
      <w:r w:rsidRPr="00DD7EEB">
        <w:rPr>
          <w:rStyle w:val="a9"/>
          <w:rFonts w:ascii="Simplified Arabic" w:hAnsi="Simplified Arabic" w:cs="Simplified Arabic"/>
          <w:sz w:val="18"/>
          <w:szCs w:val="18"/>
        </w:rPr>
        <w:t xml:space="preserve"> </w:t>
      </w:r>
      <w:r w:rsidRPr="00DD7EEB">
        <w:rPr>
          <w:rStyle w:val="a9"/>
          <w:rFonts w:ascii="Simplified Arabic" w:hAnsi="Simplified Arabic" w:cs="Simplified Arabic" w:hint="cs"/>
          <w:sz w:val="18"/>
          <w:szCs w:val="18"/>
          <w:rtl/>
        </w:rPr>
        <w:t xml:space="preserve">. </w:t>
      </w:r>
      <w:r w:rsidRPr="00DD7EEB">
        <w:rPr>
          <w:rStyle w:val="a9"/>
          <w:rFonts w:ascii="Simplified Arabic" w:hAnsi="Simplified Arabic" w:cs="Simplified Arabic"/>
          <w:sz w:val="18"/>
          <w:szCs w:val="18"/>
          <w:rtl/>
        </w:rPr>
        <w:t xml:space="preserve">نصر عبد الكريم, العلاقات الأوروبية الفلسطينية: الدور الاقتصادي الأوروبي, ورقة بحثية مقدمة إلى مؤتمر السياسات الخارجية الأوروبية تجاه القضية الفلسطينية, مركز الزيتونة للدراسات والاستشارات, بيروت – لبنان, </w:t>
      </w:r>
      <w:r w:rsidRPr="00DD7EEB">
        <w:rPr>
          <w:rStyle w:val="a9"/>
          <w:rFonts w:ascii="Simplified Arabic" w:hAnsi="Simplified Arabic" w:cs="Simplified Arabic"/>
          <w:sz w:val="18"/>
          <w:szCs w:val="18"/>
        </w:rPr>
        <w:t>2010</w:t>
      </w:r>
      <w:r w:rsidRPr="00DD7EEB">
        <w:rPr>
          <w:rStyle w:val="a9"/>
          <w:rFonts w:ascii="Simplified Arabic" w:hAnsi="Simplified Arabic" w:cs="Simplified Arabic" w:hint="cs"/>
          <w:sz w:val="18"/>
          <w:szCs w:val="18"/>
          <w:rtl/>
        </w:rPr>
        <w:t>, ص</w:t>
      </w:r>
      <w:r w:rsidRPr="00DD7EEB">
        <w:rPr>
          <w:rStyle w:val="a9"/>
          <w:rFonts w:ascii="Simplified Arabic" w:hAnsi="Simplified Arabic" w:cs="Simplified Arabic"/>
          <w:sz w:val="18"/>
          <w:szCs w:val="18"/>
        </w:rPr>
        <w:t>1</w:t>
      </w:r>
      <w:r w:rsidRPr="00DD7EEB">
        <w:rPr>
          <w:rStyle w:val="a9"/>
          <w:rFonts w:ascii="Simplified Arabic" w:hAnsi="Simplified Arabic" w:cs="Simplified Arabic" w:hint="cs"/>
          <w:sz w:val="18"/>
          <w:szCs w:val="18"/>
          <w:rtl/>
        </w:rPr>
        <w:t>.</w:t>
      </w:r>
    </w:p>
    <w:p w:rsidR="001B28C7" w:rsidRDefault="001B28C7" w:rsidP="001B28C7">
      <w:pPr>
        <w:pStyle w:val="a8"/>
      </w:pPr>
    </w:p>
  </w:footnote>
  <w:footnote w:id="28">
    <w:p w:rsidR="001B28C7" w:rsidRPr="00DD7EEB" w:rsidRDefault="001B28C7" w:rsidP="00DD7EEB">
      <w:pPr>
        <w:spacing w:after="0"/>
        <w:ind w:left="357"/>
        <w:rPr>
          <w:rStyle w:val="a9"/>
          <w:rFonts w:ascii="Simplified Arabic" w:hAnsi="Simplified Arabic" w:cs="Simplified Arabic"/>
          <w:sz w:val="20"/>
          <w:szCs w:val="20"/>
        </w:rPr>
      </w:pPr>
      <w:r w:rsidRPr="00DD7EEB">
        <w:rPr>
          <w:rStyle w:val="a9"/>
          <w:rFonts w:ascii="Simplified Arabic" w:hAnsi="Simplified Arabic" w:cs="Simplified Arabic"/>
          <w:sz w:val="20"/>
          <w:szCs w:val="20"/>
        </w:rPr>
        <w:footnoteRef/>
      </w:r>
      <w:r w:rsidRPr="00DD7EEB">
        <w:rPr>
          <w:rStyle w:val="a9"/>
          <w:rFonts w:ascii="Simplified Arabic" w:hAnsi="Simplified Arabic" w:cs="Simplified Arabic"/>
          <w:sz w:val="20"/>
          <w:szCs w:val="20"/>
        </w:rPr>
        <w:t xml:space="preserve"> </w:t>
      </w:r>
      <w:r w:rsidRPr="00DD7EEB">
        <w:rPr>
          <w:rStyle w:val="a9"/>
          <w:rFonts w:ascii="Simplified Arabic" w:hAnsi="Simplified Arabic" w:cs="Simplified Arabic" w:hint="cs"/>
          <w:sz w:val="20"/>
          <w:szCs w:val="20"/>
          <w:rtl/>
        </w:rPr>
        <w:t xml:space="preserve">. </w:t>
      </w:r>
      <w:r w:rsidRPr="00DD7EEB">
        <w:rPr>
          <w:rStyle w:val="a9"/>
          <w:rFonts w:ascii="Simplified Arabic" w:hAnsi="Simplified Arabic" w:cs="Simplified Arabic"/>
          <w:sz w:val="20"/>
          <w:szCs w:val="20"/>
          <w:rtl/>
        </w:rPr>
        <w:t xml:space="preserve">معهد أبحاث السياسات الاقتصادية الفلسطيني (ماس), نحو توظيف أنجع للمساعدات الخارجية المقدمة للشعب الفلسطيني, ماس, رام الله, </w:t>
      </w:r>
      <w:r w:rsidRPr="00DD7EEB">
        <w:rPr>
          <w:rStyle w:val="a9"/>
          <w:rFonts w:ascii="Simplified Arabic" w:hAnsi="Simplified Arabic" w:cs="Simplified Arabic"/>
          <w:sz w:val="20"/>
          <w:szCs w:val="20"/>
        </w:rPr>
        <w:t>2005</w:t>
      </w:r>
      <w:r w:rsidRPr="00DD7EEB">
        <w:rPr>
          <w:rStyle w:val="a9"/>
          <w:rFonts w:ascii="Simplified Arabic" w:hAnsi="Simplified Arabic" w:cs="Simplified Arabic" w:hint="cs"/>
          <w:sz w:val="20"/>
          <w:szCs w:val="20"/>
          <w:rtl/>
        </w:rPr>
        <w:t>, ص</w:t>
      </w:r>
      <w:r w:rsidRPr="00DD7EEB">
        <w:rPr>
          <w:rStyle w:val="a9"/>
          <w:rFonts w:ascii="Simplified Arabic" w:hAnsi="Simplified Arabic" w:cs="Simplified Arabic"/>
          <w:sz w:val="20"/>
          <w:szCs w:val="20"/>
        </w:rPr>
        <w:t>33</w:t>
      </w:r>
      <w:r w:rsidRPr="00DD7EEB">
        <w:rPr>
          <w:rStyle w:val="a9"/>
          <w:rFonts w:ascii="Simplified Arabic" w:hAnsi="Simplified Arabic" w:cs="Simplified Arabic" w:hint="cs"/>
          <w:sz w:val="20"/>
          <w:szCs w:val="20"/>
          <w:rtl/>
        </w:rPr>
        <w:t>.</w:t>
      </w:r>
    </w:p>
  </w:footnote>
  <w:footnote w:id="29">
    <w:p w:rsidR="001B28C7" w:rsidRPr="00DD7EEB" w:rsidRDefault="001B28C7" w:rsidP="00DD7EEB">
      <w:pPr>
        <w:spacing w:after="0"/>
        <w:ind w:left="357"/>
        <w:rPr>
          <w:rStyle w:val="a9"/>
          <w:rFonts w:ascii="Simplified Arabic" w:hAnsi="Simplified Arabic" w:cs="Simplified Arabic"/>
          <w:sz w:val="20"/>
          <w:szCs w:val="20"/>
          <w:rtl/>
        </w:rPr>
      </w:pPr>
      <w:r w:rsidRPr="00DD7EEB">
        <w:rPr>
          <w:rStyle w:val="a9"/>
          <w:rFonts w:ascii="Simplified Arabic" w:hAnsi="Simplified Arabic" w:cs="Simplified Arabic"/>
          <w:sz w:val="20"/>
          <w:szCs w:val="20"/>
        </w:rPr>
        <w:footnoteRef/>
      </w:r>
      <w:r w:rsidRPr="00DD7EEB">
        <w:rPr>
          <w:rStyle w:val="a9"/>
          <w:rFonts w:ascii="Simplified Arabic" w:hAnsi="Simplified Arabic" w:cs="Simplified Arabic"/>
          <w:sz w:val="20"/>
          <w:szCs w:val="20"/>
        </w:rPr>
        <w:t xml:space="preserve"> </w:t>
      </w:r>
      <w:r w:rsidRPr="00DD7EEB">
        <w:rPr>
          <w:rStyle w:val="a9"/>
          <w:rFonts w:ascii="Simplified Arabic" w:hAnsi="Simplified Arabic" w:cs="Simplified Arabic" w:hint="cs"/>
          <w:sz w:val="20"/>
          <w:szCs w:val="20"/>
          <w:rtl/>
        </w:rPr>
        <w:t xml:space="preserve">. </w:t>
      </w:r>
      <w:r w:rsidRPr="00DD7EEB">
        <w:rPr>
          <w:rStyle w:val="a9"/>
          <w:rFonts w:ascii="Simplified Arabic" w:hAnsi="Simplified Arabic" w:cs="Simplified Arabic"/>
          <w:sz w:val="20"/>
          <w:szCs w:val="20"/>
          <w:rtl/>
        </w:rPr>
        <w:t xml:space="preserve">مازن العجلة, الاقتصاد السياسي للدولة الفلسطينية, سلسلة قراءات استراتيجية, العدد الثاني عشر, مركز التخطيط الفلسطيني, غزة, نوفمبر </w:t>
      </w:r>
      <w:r w:rsidRPr="00DD7EEB">
        <w:rPr>
          <w:rStyle w:val="a9"/>
          <w:rFonts w:ascii="Simplified Arabic" w:hAnsi="Simplified Arabic" w:cs="Simplified Arabic"/>
          <w:sz w:val="20"/>
          <w:szCs w:val="20"/>
        </w:rPr>
        <w:t>2013</w:t>
      </w:r>
      <w:r w:rsidRPr="00DD7EEB">
        <w:rPr>
          <w:rStyle w:val="a9"/>
          <w:rFonts w:ascii="Simplified Arabic" w:hAnsi="Simplified Arabic" w:cs="Simplified Arabic" w:hint="cs"/>
          <w:sz w:val="20"/>
          <w:szCs w:val="20"/>
          <w:rtl/>
        </w:rPr>
        <w:t>, ص</w:t>
      </w:r>
      <w:r w:rsidRPr="00DD7EEB">
        <w:rPr>
          <w:rStyle w:val="a9"/>
          <w:rFonts w:ascii="Simplified Arabic" w:hAnsi="Simplified Arabic" w:cs="Simplified Arabic"/>
          <w:sz w:val="20"/>
          <w:szCs w:val="20"/>
        </w:rPr>
        <w:t>39</w:t>
      </w:r>
      <w:r w:rsidRPr="00DD7EEB">
        <w:rPr>
          <w:rStyle w:val="a9"/>
          <w:rFonts w:ascii="Simplified Arabic" w:hAnsi="Simplified Arabic" w:cs="Simplified Arabic" w:hint="cs"/>
          <w:sz w:val="20"/>
          <w:szCs w:val="20"/>
          <w:rtl/>
        </w:rPr>
        <w:t>.</w:t>
      </w:r>
    </w:p>
    <w:p w:rsidR="001B28C7" w:rsidRDefault="001B28C7" w:rsidP="001B28C7">
      <w:pPr>
        <w:pStyle w:val="a8"/>
        <w:rPr>
          <w:lang w:bidi="ar-IQ"/>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9E0129" w:rsidRDefault="00A900BF" w:rsidP="00546E80">
    <w:pPr>
      <w:tabs>
        <w:tab w:val="center" w:pos="4153"/>
        <w:tab w:val="right" w:pos="8306"/>
      </w:tabs>
      <w:spacing w:after="0" w:line="240" w:lineRule="auto"/>
      <w:rPr>
        <w:rFonts w:ascii="Times New Roman" w:eastAsia="Times New Roman" w:hAnsi="Times New Roman" w:cs="Simplified Arabic"/>
        <w:bCs/>
        <w:sz w:val="20"/>
        <w:szCs w:val="20"/>
      </w:rPr>
    </w:pPr>
    <w:r>
      <w:rPr>
        <w:rFonts w:ascii="Times New Roman" w:eastAsia="Times New Roman" w:hAnsi="Times New Roman" w:cs="Simplified Arabic"/>
        <w:bCs/>
        <w:noProof/>
        <w:sz w:val="20"/>
        <w:szCs w:val="20"/>
        <w:rtl/>
      </w:rPr>
      <mc:AlternateContent>
        <mc:Choice Requires="wps">
          <w:drawing>
            <wp:anchor distT="0" distB="0" distL="114300" distR="114300" simplePos="0" relativeHeight="251659264" behindDoc="0" locked="0" layoutInCell="0" allowOverlap="1" wp14:anchorId="1C81AEB9" wp14:editId="3618B305">
              <wp:simplePos x="0" y="0"/>
              <wp:positionH relativeFrom="page">
                <wp:posOffset>972185</wp:posOffset>
              </wp:positionH>
              <wp:positionV relativeFrom="paragraph">
                <wp:posOffset>225425</wp:posOffset>
              </wp:positionV>
              <wp:extent cx="4422775" cy="0"/>
              <wp:effectExtent l="10160" t="6350" r="5715" b="12700"/>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2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55pt,17.75pt" to="424.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" o:allowincell="f">
              <w10:wrap anchorx="page"/>
            </v:line>
          </w:pict>
        </mc:Fallback>
      </mc:AlternateContent>
    </w:r>
    <w:r w:rsidR="00195CA3">
      <w:rPr>
        <w:rFonts w:ascii="Times New Roman" w:eastAsia="Times New Roman" w:hAnsi="Times New Roman" w:cs="Simplified Arabic"/>
        <w:b/>
        <w:bCs/>
        <w:sz w:val="20"/>
        <w:szCs w:val="20"/>
        <w:rtl/>
      </w:rPr>
      <w:t>مركز التخطيط الفلسطيني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7536B7" w:rsidRDefault="00A900BF" w:rsidP="00A6490D">
    <w:pPr>
      <w:spacing w:after="0" w:line="240" w:lineRule="auto"/>
      <w:jc w:val="right"/>
      <w:rPr>
        <w:rFonts w:ascii="Times New Roman" w:eastAsia="Times New Roman" w:hAnsi="Times New Roman" w:cs="Simplified Arabic"/>
        <w:b/>
        <w:bCs/>
        <w:sz w:val="20"/>
        <w:szCs w:val="20"/>
      </w:rPr>
    </w:pPr>
    <w:r>
      <w:rPr>
        <w:rFonts w:ascii="Times New Roman" w:eastAsia="Times New Roman" w:hAnsi="Times New Roman" w:cs="Simplified Arabic"/>
        <w:b/>
        <w:bCs/>
        <w:noProof/>
        <w:sz w:val="20"/>
        <w:szCs w:val="20"/>
        <w:rtl/>
      </w:rPr>
      <mc:AlternateContent>
        <mc:Choice Requires="wps">
          <w:drawing>
            <wp:anchor distT="0" distB="0" distL="114300" distR="114300" simplePos="0" relativeHeight="251660288" behindDoc="0" locked="0" layoutInCell="1" allowOverlap="1" wp14:anchorId="5D4B5953" wp14:editId="2EAEAD01">
              <wp:simplePos x="0" y="0"/>
              <wp:positionH relativeFrom="column">
                <wp:posOffset>-54610</wp:posOffset>
              </wp:positionH>
              <wp:positionV relativeFrom="paragraph">
                <wp:posOffset>231140</wp:posOffset>
              </wp:positionV>
              <wp:extent cx="4410710" cy="0"/>
              <wp:effectExtent l="12065" t="12065" r="6350" b="69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8.2pt" to="3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"/>
          </w:pict>
        </mc:Fallback>
      </mc:AlternateContent>
    </w:r>
    <w:r w:rsidR="004D2CD6">
      <w:rPr>
        <w:rFonts w:ascii="Times New Roman" w:eastAsia="Times New Roman" w:hAnsi="Times New Roman" w:cs="Simplified Arabic" w:hint="cs"/>
        <w:bCs/>
        <w:sz w:val="20"/>
        <w:szCs w:val="20"/>
        <w:rtl/>
      </w:rPr>
      <w:t>أمن قومي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6BC4"/>
    <w:multiLevelType w:val="hybridMultilevel"/>
    <w:tmpl w:val="0C1CDDD0"/>
    <w:lvl w:ilvl="0" w:tplc="746E350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777A7"/>
    <w:multiLevelType w:val="hybridMultilevel"/>
    <w:tmpl w:val="7228ECFC"/>
    <w:lvl w:ilvl="0" w:tplc="B16606C0">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2">
    <w:nsid w:val="058A340D"/>
    <w:multiLevelType w:val="hybridMultilevel"/>
    <w:tmpl w:val="2F344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F41B3D"/>
    <w:multiLevelType w:val="hybridMultilevel"/>
    <w:tmpl w:val="78166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56E8C"/>
    <w:multiLevelType w:val="hybridMultilevel"/>
    <w:tmpl w:val="D8665B08"/>
    <w:lvl w:ilvl="0" w:tplc="8F40F656">
      <w:start w:val="1"/>
      <w:numFmt w:val="bullet"/>
      <w:lvlText w:val="-"/>
      <w:lvlJc w:val="left"/>
      <w:pPr>
        <w:ind w:left="360" w:hanging="360"/>
      </w:pPr>
      <w:rPr>
        <w:rFonts w:ascii="Simplified Arabic" w:eastAsia="Times New Roman" w:hAnsi="Simplified Arabic"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0B2B15CC"/>
    <w:multiLevelType w:val="hybridMultilevel"/>
    <w:tmpl w:val="F8C40FDE"/>
    <w:lvl w:ilvl="0" w:tplc="0324D69E">
      <w:start w:val="1"/>
      <w:numFmt w:val="decimal"/>
      <w:lvlText w:val="%1-"/>
      <w:lvlJc w:val="left"/>
      <w:pPr>
        <w:ind w:left="360" w:hanging="360"/>
      </w:pPr>
      <w:rPr>
        <w:rFonts w:ascii="Simplified Arabic" w:hAnsi="Simplified Arabic" w:cs="Simplified Arabic"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AB57C4"/>
    <w:multiLevelType w:val="hybridMultilevel"/>
    <w:tmpl w:val="10F4C2C0"/>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7">
    <w:nsid w:val="10413AC4"/>
    <w:multiLevelType w:val="hybridMultilevel"/>
    <w:tmpl w:val="36A47C54"/>
    <w:lvl w:ilvl="0" w:tplc="4022A276">
      <w:start w:val="1"/>
      <w:numFmt w:val="decimal"/>
      <w:lvlText w:val="%1-"/>
      <w:lvlJc w:val="left"/>
      <w:pPr>
        <w:ind w:left="360" w:hanging="360"/>
      </w:pPr>
      <w:rPr>
        <w:rFonts w:hint="default"/>
        <w:b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596523"/>
    <w:multiLevelType w:val="hybridMultilevel"/>
    <w:tmpl w:val="F254037A"/>
    <w:lvl w:ilvl="0" w:tplc="ABBE42A8">
      <w:start w:val="1"/>
      <w:numFmt w:val="decimal"/>
      <w:lvlText w:val="%1."/>
      <w:lvlJc w:val="left"/>
      <w:pPr>
        <w:ind w:left="360" w:hanging="360"/>
      </w:pPr>
      <w:rPr>
        <w:rFonts w:cs="Times New Roman"/>
        <w:b w:val="0"/>
        <w:bCs w:val="0"/>
        <w:color w:val="auto"/>
        <w:sz w:val="28"/>
        <w:szCs w:val="28"/>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9">
    <w:nsid w:val="18EC3D52"/>
    <w:multiLevelType w:val="hybridMultilevel"/>
    <w:tmpl w:val="6414C41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DAC7C60"/>
    <w:multiLevelType w:val="hybridMultilevel"/>
    <w:tmpl w:val="63ECDC9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227B0D11"/>
    <w:multiLevelType w:val="hybridMultilevel"/>
    <w:tmpl w:val="FDF66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C000F3"/>
    <w:multiLevelType w:val="hybridMultilevel"/>
    <w:tmpl w:val="321A59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82E2AE7"/>
    <w:multiLevelType w:val="hybridMultilevel"/>
    <w:tmpl w:val="42668EF2"/>
    <w:lvl w:ilvl="0" w:tplc="0B16B5BA">
      <w:start w:val="3"/>
      <w:numFmt w:val="bullet"/>
      <w:lvlText w:val="-"/>
      <w:lvlJc w:val="left"/>
      <w:pPr>
        <w:ind w:left="643" w:hanging="360"/>
      </w:pPr>
      <w:rPr>
        <w:rFonts w:ascii="Simplified Arabic" w:eastAsiaTheme="minorHAnsi" w:hAnsi="Simplified Arabic" w:cs="Simplified Arabic"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4">
    <w:nsid w:val="33D5272E"/>
    <w:multiLevelType w:val="hybridMultilevel"/>
    <w:tmpl w:val="8DF45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
    <w:nsid w:val="33E62E2D"/>
    <w:multiLevelType w:val="hybridMultilevel"/>
    <w:tmpl w:val="43EC3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20167C4"/>
    <w:multiLevelType w:val="hybridMultilevel"/>
    <w:tmpl w:val="2E8893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4B04E49"/>
    <w:multiLevelType w:val="hybridMultilevel"/>
    <w:tmpl w:val="10F4C2C0"/>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8">
    <w:nsid w:val="47A847F7"/>
    <w:multiLevelType w:val="hybridMultilevel"/>
    <w:tmpl w:val="20D0395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9">
    <w:nsid w:val="48884E59"/>
    <w:multiLevelType w:val="hybridMultilevel"/>
    <w:tmpl w:val="F0D6CD60"/>
    <w:lvl w:ilvl="0" w:tplc="A3EAE3A6">
      <w:start w:val="1"/>
      <w:numFmt w:val="bullet"/>
      <w:lvlText w:val=""/>
      <w:lvlJc w:val="left"/>
      <w:pPr>
        <w:ind w:left="113" w:hanging="113"/>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D9F215D"/>
    <w:multiLevelType w:val="hybridMultilevel"/>
    <w:tmpl w:val="634605CC"/>
    <w:lvl w:ilvl="0" w:tplc="2140D642">
      <w:start w:val="1"/>
      <w:numFmt w:val="decimal"/>
      <w:lvlText w:val="%1-"/>
      <w:lvlJc w:val="left"/>
      <w:pPr>
        <w:ind w:left="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D13F99"/>
    <w:multiLevelType w:val="hybridMultilevel"/>
    <w:tmpl w:val="0C1CDDD0"/>
    <w:lvl w:ilvl="0" w:tplc="746E35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C717CE"/>
    <w:multiLevelType w:val="hybridMultilevel"/>
    <w:tmpl w:val="5F861718"/>
    <w:lvl w:ilvl="0" w:tplc="463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6912F4"/>
    <w:multiLevelType w:val="hybridMultilevel"/>
    <w:tmpl w:val="EEC45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8117A8"/>
    <w:multiLevelType w:val="hybridMultilevel"/>
    <w:tmpl w:val="0C1CDDD0"/>
    <w:lvl w:ilvl="0" w:tplc="746E35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E90BEB"/>
    <w:multiLevelType w:val="hybridMultilevel"/>
    <w:tmpl w:val="BCC8E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93D4A07"/>
    <w:multiLevelType w:val="hybridMultilevel"/>
    <w:tmpl w:val="10F4C2C0"/>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27">
    <w:nsid w:val="598F15CF"/>
    <w:multiLevelType w:val="hybridMultilevel"/>
    <w:tmpl w:val="34A626F0"/>
    <w:lvl w:ilvl="0" w:tplc="2B06CDBE">
      <w:numFmt w:val="bullet"/>
      <w:lvlText w:val="-"/>
      <w:lvlJc w:val="left"/>
      <w:pPr>
        <w:ind w:left="360" w:hanging="360"/>
      </w:pPr>
      <w:rPr>
        <w:rFonts w:ascii="Simplified Arabic" w:eastAsia="Times New Roman" w:hAnsi="Simplified Arabic"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B8D6A98"/>
    <w:multiLevelType w:val="hybridMultilevel"/>
    <w:tmpl w:val="3D264328"/>
    <w:lvl w:ilvl="0" w:tplc="0718A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5E0265"/>
    <w:multiLevelType w:val="hybridMultilevel"/>
    <w:tmpl w:val="8BE2FEB6"/>
    <w:lvl w:ilvl="0" w:tplc="A5E48F08">
      <w:start w:val="2"/>
      <w:numFmt w:val="bullet"/>
      <w:lvlText w:val="-"/>
      <w:lvlJc w:val="left"/>
      <w:pPr>
        <w:ind w:left="360" w:hanging="360"/>
      </w:pPr>
      <w:rPr>
        <w:rFonts w:ascii="TraditionalArabic" w:eastAsiaTheme="minorHAnsi" w:hAnsiTheme="minorHAnsi" w:cs="Traditional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F0A5BC7"/>
    <w:multiLevelType w:val="hybridMultilevel"/>
    <w:tmpl w:val="3A646506"/>
    <w:lvl w:ilvl="0" w:tplc="16762EDA">
      <w:start w:val="1"/>
      <w:numFmt w:val="arabicAlpha"/>
      <w:lvlText w:val="%1-"/>
      <w:lvlJc w:val="left"/>
      <w:pPr>
        <w:ind w:left="360" w:hanging="360"/>
      </w:pPr>
      <w:rPr>
        <w:rFonts w:cs="Times New Roman"/>
        <w:b/>
        <w:bCs/>
        <w:sz w:val="2"/>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nsid w:val="60363CC7"/>
    <w:multiLevelType w:val="hybridMultilevel"/>
    <w:tmpl w:val="1012D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594C2C"/>
    <w:multiLevelType w:val="hybridMultilevel"/>
    <w:tmpl w:val="D996E7BA"/>
    <w:lvl w:ilvl="0" w:tplc="53241ADE">
      <w:start w:val="1"/>
      <w:numFmt w:val="decimal"/>
      <w:lvlText w:val="%1-"/>
      <w:lvlJc w:val="left"/>
      <w:pPr>
        <w:ind w:left="360" w:hanging="360"/>
      </w:pPr>
      <w:rPr>
        <w:rFonts w:hint="default"/>
        <w:b/>
        <w:bCs/>
        <w:lang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57506FB"/>
    <w:multiLevelType w:val="hybridMultilevel"/>
    <w:tmpl w:val="10F4C2C0"/>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34">
    <w:nsid w:val="6BD2340B"/>
    <w:multiLevelType w:val="hybridMultilevel"/>
    <w:tmpl w:val="926A8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D3C67D8"/>
    <w:multiLevelType w:val="hybridMultilevel"/>
    <w:tmpl w:val="B0868D18"/>
    <w:lvl w:ilvl="0" w:tplc="2312EB48">
      <w:start w:val="1"/>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6">
    <w:nsid w:val="6F8D49FC"/>
    <w:multiLevelType w:val="hybridMultilevel"/>
    <w:tmpl w:val="F49A61AE"/>
    <w:lvl w:ilvl="0" w:tplc="04090013">
      <w:start w:val="1"/>
      <w:numFmt w:val="arabicAlpha"/>
      <w:lvlText w:val="%1-"/>
      <w:lvlJc w:val="center"/>
      <w:pPr>
        <w:ind w:left="360" w:hanging="360"/>
      </w:pPr>
      <w:rPr>
        <w:rFonts w:cs="Times New Roman"/>
        <w:sz w:val="2"/>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6F960D94"/>
    <w:multiLevelType w:val="hybridMultilevel"/>
    <w:tmpl w:val="487ACEEE"/>
    <w:lvl w:ilvl="0" w:tplc="0409000F">
      <w:start w:val="1"/>
      <w:numFmt w:val="decimal"/>
      <w:lvlText w:val="%1."/>
      <w:lvlJc w:val="left"/>
      <w:pPr>
        <w:ind w:left="502" w:hanging="360"/>
      </w:pPr>
      <w:rPr>
        <w:rFont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8">
    <w:nsid w:val="731E25C0"/>
    <w:multiLevelType w:val="hybridMultilevel"/>
    <w:tmpl w:val="63369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1"/>
  </w:num>
  <w:num w:numId="3">
    <w:abstractNumId w:val="22"/>
  </w:num>
  <w:num w:numId="4">
    <w:abstractNumId w:val="20"/>
  </w:num>
  <w:num w:numId="5">
    <w:abstractNumId w:val="35"/>
  </w:num>
  <w:num w:numId="6">
    <w:abstractNumId w:val="7"/>
  </w:num>
  <w:num w:numId="7">
    <w:abstractNumId w:val="32"/>
  </w:num>
  <w:num w:numId="8">
    <w:abstractNumId w:val="15"/>
  </w:num>
  <w:num w:numId="9">
    <w:abstractNumId w:val="38"/>
  </w:num>
  <w:num w:numId="10">
    <w:abstractNumId w:val="2"/>
  </w:num>
  <w:num w:numId="11">
    <w:abstractNumId w:val="21"/>
  </w:num>
  <w:num w:numId="12">
    <w:abstractNumId w:val="19"/>
  </w:num>
  <w:num w:numId="13">
    <w:abstractNumId w:val="34"/>
  </w:num>
  <w:num w:numId="14">
    <w:abstractNumId w:val="27"/>
  </w:num>
  <w:num w:numId="15">
    <w:abstractNumId w:val="36"/>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6"/>
  </w:num>
  <w:num w:numId="24">
    <w:abstractNumId w:val="0"/>
  </w:num>
  <w:num w:numId="25">
    <w:abstractNumId w:val="5"/>
  </w:num>
  <w:num w:numId="26">
    <w:abstractNumId w:val="14"/>
  </w:num>
  <w:num w:numId="27">
    <w:abstractNumId w:val="29"/>
  </w:num>
  <w:num w:numId="28">
    <w:abstractNumId w:val="24"/>
  </w:num>
  <w:num w:numId="29">
    <w:abstractNumId w:val="3"/>
  </w:num>
  <w:num w:numId="30">
    <w:abstractNumId w:val="31"/>
  </w:num>
  <w:num w:numId="31">
    <w:abstractNumId w:val="18"/>
  </w:num>
  <w:num w:numId="32">
    <w:abstractNumId w:val="25"/>
  </w:num>
  <w:num w:numId="33">
    <w:abstractNumId w:val="13"/>
  </w:num>
  <w:num w:numId="34">
    <w:abstractNumId w:val="16"/>
  </w:num>
  <w:num w:numId="35">
    <w:abstractNumId w:val="12"/>
  </w:num>
  <w:num w:numId="36">
    <w:abstractNumId w:val="11"/>
  </w:num>
  <w:num w:numId="37">
    <w:abstractNumId w:val="23"/>
  </w:num>
  <w:num w:numId="38">
    <w:abstractNumId w:val="37"/>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0"/>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BF"/>
    <w:rsid w:val="000169EF"/>
    <w:rsid w:val="000409A6"/>
    <w:rsid w:val="00055ACC"/>
    <w:rsid w:val="000A4DDD"/>
    <w:rsid w:val="000F7479"/>
    <w:rsid w:val="001668ED"/>
    <w:rsid w:val="00194F56"/>
    <w:rsid w:val="00195CA3"/>
    <w:rsid w:val="001A21A0"/>
    <w:rsid w:val="001B28C7"/>
    <w:rsid w:val="001B3184"/>
    <w:rsid w:val="001F12EA"/>
    <w:rsid w:val="002B6828"/>
    <w:rsid w:val="002F4D82"/>
    <w:rsid w:val="003B1751"/>
    <w:rsid w:val="003B7578"/>
    <w:rsid w:val="003C4F92"/>
    <w:rsid w:val="0040339E"/>
    <w:rsid w:val="00472111"/>
    <w:rsid w:val="004D2CD6"/>
    <w:rsid w:val="00506421"/>
    <w:rsid w:val="0051779A"/>
    <w:rsid w:val="005366C2"/>
    <w:rsid w:val="00541D49"/>
    <w:rsid w:val="005B2276"/>
    <w:rsid w:val="00624491"/>
    <w:rsid w:val="00661C3F"/>
    <w:rsid w:val="006B04CC"/>
    <w:rsid w:val="00747468"/>
    <w:rsid w:val="00756961"/>
    <w:rsid w:val="007613C1"/>
    <w:rsid w:val="007C16A5"/>
    <w:rsid w:val="007E6A87"/>
    <w:rsid w:val="0081251D"/>
    <w:rsid w:val="008509E3"/>
    <w:rsid w:val="00851980"/>
    <w:rsid w:val="008A56C8"/>
    <w:rsid w:val="008C6CE5"/>
    <w:rsid w:val="008D08E3"/>
    <w:rsid w:val="009169B9"/>
    <w:rsid w:val="00945EE6"/>
    <w:rsid w:val="009621E2"/>
    <w:rsid w:val="009970B0"/>
    <w:rsid w:val="009C14AB"/>
    <w:rsid w:val="00A178DF"/>
    <w:rsid w:val="00A6490D"/>
    <w:rsid w:val="00A80AAD"/>
    <w:rsid w:val="00A81F8D"/>
    <w:rsid w:val="00A900BF"/>
    <w:rsid w:val="00AF5660"/>
    <w:rsid w:val="00B27486"/>
    <w:rsid w:val="00B43CE7"/>
    <w:rsid w:val="00B44E2F"/>
    <w:rsid w:val="00B75625"/>
    <w:rsid w:val="00CA2E2D"/>
    <w:rsid w:val="00CD2BC9"/>
    <w:rsid w:val="00CE3CF9"/>
    <w:rsid w:val="00D27C7C"/>
    <w:rsid w:val="00D9462A"/>
    <w:rsid w:val="00DC55AF"/>
    <w:rsid w:val="00DD7EEB"/>
    <w:rsid w:val="00DE6BFF"/>
    <w:rsid w:val="00E26CA2"/>
    <w:rsid w:val="00E53C1F"/>
    <w:rsid w:val="00E53EDA"/>
    <w:rsid w:val="00EA0B40"/>
    <w:rsid w:val="00EF0AAA"/>
    <w:rsid w:val="00EF3C4F"/>
    <w:rsid w:val="00F36AA2"/>
    <w:rsid w:val="00F467D9"/>
    <w:rsid w:val="00F77884"/>
    <w:rsid w:val="00F97F00"/>
    <w:rsid w:val="00FC13E7"/>
    <w:rsid w:val="00FF02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E2F"/>
    <w:pPr>
      <w:bidi/>
    </w:pPr>
  </w:style>
  <w:style w:type="paragraph" w:styleId="1">
    <w:name w:val="heading 1"/>
    <w:basedOn w:val="a"/>
    <w:next w:val="a"/>
    <w:link w:val="1Char"/>
    <w:uiPriority w:val="9"/>
    <w:qFormat/>
    <w:rsid w:val="001B28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0"/>
    <w:link w:val="a3"/>
    <w:uiPriority w:val="99"/>
    <w:rsid w:val="00A900BF"/>
    <w:rPr>
      <w:rFonts w:ascii="Calibri" w:eastAsia="Calibri" w:hAnsi="Calibri" w:cs="Times New Roman"/>
      <w:lang w:val="x-none" w:eastAsia="x-none"/>
    </w:rPr>
  </w:style>
  <w:style w:type="paragraph" w:styleId="a4">
    <w:name w:val="header"/>
    <w:basedOn w:val="a"/>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0"/>
    <w:link w:val="a4"/>
    <w:uiPriority w:val="99"/>
    <w:rsid w:val="00A900BF"/>
    <w:rPr>
      <w:rFonts w:ascii="Calibri" w:eastAsia="Calibri" w:hAnsi="Calibri" w:cs="Times New Roman"/>
      <w:lang w:val="x-none" w:eastAsia="x-none"/>
    </w:rPr>
  </w:style>
  <w:style w:type="table" w:styleId="a5">
    <w:name w:val="Table Grid"/>
    <w:basedOn w:val="a1"/>
    <w:uiPriority w:val="59"/>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44E2F"/>
  </w:style>
  <w:style w:type="character" w:styleId="Hyperlink">
    <w:name w:val="Hyperlink"/>
    <w:basedOn w:val="a0"/>
    <w:uiPriority w:val="99"/>
    <w:unhideWhenUsed/>
    <w:rsid w:val="00B44E2F"/>
    <w:rPr>
      <w:color w:val="0000FF"/>
      <w:u w:val="single"/>
    </w:rPr>
  </w:style>
  <w:style w:type="paragraph" w:styleId="a7">
    <w:name w:val="List Paragraph"/>
    <w:basedOn w:val="a"/>
    <w:uiPriority w:val="99"/>
    <w:qFormat/>
    <w:rsid w:val="00B44E2F"/>
    <w:pPr>
      <w:ind w:left="720"/>
      <w:contextualSpacing/>
    </w:pPr>
  </w:style>
  <w:style w:type="paragraph" w:styleId="a8">
    <w:name w:val="footnote text"/>
    <w:basedOn w:val="a"/>
    <w:link w:val="Char1"/>
    <w:uiPriority w:val="99"/>
    <w:unhideWhenUsed/>
    <w:rsid w:val="0051779A"/>
    <w:pPr>
      <w:spacing w:after="0" w:line="240" w:lineRule="auto"/>
    </w:pPr>
    <w:rPr>
      <w:sz w:val="20"/>
      <w:szCs w:val="20"/>
    </w:rPr>
  </w:style>
  <w:style w:type="character" w:customStyle="1" w:styleId="Char1">
    <w:name w:val="نص حاشية سفلية Char"/>
    <w:basedOn w:val="a0"/>
    <w:link w:val="a8"/>
    <w:uiPriority w:val="99"/>
    <w:rsid w:val="0051779A"/>
    <w:rPr>
      <w:sz w:val="20"/>
      <w:szCs w:val="20"/>
    </w:rPr>
  </w:style>
  <w:style w:type="character" w:styleId="a9">
    <w:name w:val="footnote reference"/>
    <w:basedOn w:val="a0"/>
    <w:uiPriority w:val="99"/>
    <w:semiHidden/>
    <w:unhideWhenUsed/>
    <w:rsid w:val="0051779A"/>
    <w:rPr>
      <w:vertAlign w:val="superscript"/>
    </w:rPr>
  </w:style>
  <w:style w:type="paragraph" w:styleId="aa">
    <w:name w:val="endnote text"/>
    <w:basedOn w:val="a"/>
    <w:link w:val="Char2"/>
    <w:uiPriority w:val="99"/>
    <w:semiHidden/>
    <w:unhideWhenUsed/>
    <w:rsid w:val="00F97F00"/>
    <w:pPr>
      <w:spacing w:after="0" w:line="240" w:lineRule="auto"/>
    </w:pPr>
    <w:rPr>
      <w:sz w:val="20"/>
      <w:szCs w:val="20"/>
    </w:rPr>
  </w:style>
  <w:style w:type="character" w:customStyle="1" w:styleId="Char2">
    <w:name w:val="نص تعليق ختامي Char"/>
    <w:basedOn w:val="a0"/>
    <w:link w:val="aa"/>
    <w:uiPriority w:val="99"/>
    <w:semiHidden/>
    <w:rsid w:val="00F97F00"/>
    <w:rPr>
      <w:sz w:val="20"/>
      <w:szCs w:val="20"/>
    </w:rPr>
  </w:style>
  <w:style w:type="character" w:styleId="ab">
    <w:name w:val="endnote reference"/>
    <w:basedOn w:val="a0"/>
    <w:uiPriority w:val="99"/>
    <w:semiHidden/>
    <w:unhideWhenUsed/>
    <w:rsid w:val="00F97F00"/>
    <w:rPr>
      <w:vertAlign w:val="superscript"/>
    </w:rPr>
  </w:style>
  <w:style w:type="character" w:customStyle="1" w:styleId="1Char">
    <w:name w:val="عنوان 1 Char"/>
    <w:basedOn w:val="a0"/>
    <w:link w:val="1"/>
    <w:uiPriority w:val="9"/>
    <w:rsid w:val="001B28C7"/>
    <w:rPr>
      <w:rFonts w:asciiTheme="majorHAnsi" w:eastAsiaTheme="majorEastAsia" w:hAnsiTheme="majorHAnsi" w:cstheme="majorBidi"/>
      <w:b/>
      <w:bCs/>
      <w:color w:val="365F91" w:themeColor="accent1" w:themeShade="BF"/>
      <w:sz w:val="28"/>
      <w:szCs w:val="28"/>
    </w:rPr>
  </w:style>
  <w:style w:type="paragraph" w:styleId="ac">
    <w:name w:val="Balloon Text"/>
    <w:basedOn w:val="a"/>
    <w:link w:val="Char3"/>
    <w:uiPriority w:val="99"/>
    <w:semiHidden/>
    <w:unhideWhenUsed/>
    <w:rsid w:val="001B28C7"/>
    <w:pPr>
      <w:bidi w:val="0"/>
      <w:spacing w:after="0" w:line="240" w:lineRule="auto"/>
    </w:pPr>
    <w:rPr>
      <w:rFonts w:ascii="Tahoma" w:hAnsi="Tahoma" w:cs="Tahoma"/>
      <w:sz w:val="16"/>
      <w:szCs w:val="16"/>
    </w:rPr>
  </w:style>
  <w:style w:type="character" w:customStyle="1" w:styleId="Char3">
    <w:name w:val="نص في بالون Char"/>
    <w:basedOn w:val="a0"/>
    <w:link w:val="ac"/>
    <w:uiPriority w:val="99"/>
    <w:semiHidden/>
    <w:rsid w:val="001B28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E2F"/>
    <w:pPr>
      <w:bidi/>
    </w:pPr>
  </w:style>
  <w:style w:type="paragraph" w:styleId="1">
    <w:name w:val="heading 1"/>
    <w:basedOn w:val="a"/>
    <w:next w:val="a"/>
    <w:link w:val="1Char"/>
    <w:uiPriority w:val="9"/>
    <w:qFormat/>
    <w:rsid w:val="001B28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0"/>
    <w:link w:val="a3"/>
    <w:uiPriority w:val="99"/>
    <w:rsid w:val="00A900BF"/>
    <w:rPr>
      <w:rFonts w:ascii="Calibri" w:eastAsia="Calibri" w:hAnsi="Calibri" w:cs="Times New Roman"/>
      <w:lang w:val="x-none" w:eastAsia="x-none"/>
    </w:rPr>
  </w:style>
  <w:style w:type="paragraph" w:styleId="a4">
    <w:name w:val="header"/>
    <w:basedOn w:val="a"/>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0"/>
    <w:link w:val="a4"/>
    <w:uiPriority w:val="99"/>
    <w:rsid w:val="00A900BF"/>
    <w:rPr>
      <w:rFonts w:ascii="Calibri" w:eastAsia="Calibri" w:hAnsi="Calibri" w:cs="Times New Roman"/>
      <w:lang w:val="x-none" w:eastAsia="x-none"/>
    </w:rPr>
  </w:style>
  <w:style w:type="table" w:styleId="a5">
    <w:name w:val="Table Grid"/>
    <w:basedOn w:val="a1"/>
    <w:uiPriority w:val="59"/>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44E2F"/>
  </w:style>
  <w:style w:type="character" w:styleId="Hyperlink">
    <w:name w:val="Hyperlink"/>
    <w:basedOn w:val="a0"/>
    <w:uiPriority w:val="99"/>
    <w:unhideWhenUsed/>
    <w:rsid w:val="00B44E2F"/>
    <w:rPr>
      <w:color w:val="0000FF"/>
      <w:u w:val="single"/>
    </w:rPr>
  </w:style>
  <w:style w:type="paragraph" w:styleId="a7">
    <w:name w:val="List Paragraph"/>
    <w:basedOn w:val="a"/>
    <w:uiPriority w:val="99"/>
    <w:qFormat/>
    <w:rsid w:val="00B44E2F"/>
    <w:pPr>
      <w:ind w:left="720"/>
      <w:contextualSpacing/>
    </w:pPr>
  </w:style>
  <w:style w:type="paragraph" w:styleId="a8">
    <w:name w:val="footnote text"/>
    <w:basedOn w:val="a"/>
    <w:link w:val="Char1"/>
    <w:uiPriority w:val="99"/>
    <w:unhideWhenUsed/>
    <w:rsid w:val="0051779A"/>
    <w:pPr>
      <w:spacing w:after="0" w:line="240" w:lineRule="auto"/>
    </w:pPr>
    <w:rPr>
      <w:sz w:val="20"/>
      <w:szCs w:val="20"/>
    </w:rPr>
  </w:style>
  <w:style w:type="character" w:customStyle="1" w:styleId="Char1">
    <w:name w:val="نص حاشية سفلية Char"/>
    <w:basedOn w:val="a0"/>
    <w:link w:val="a8"/>
    <w:uiPriority w:val="99"/>
    <w:rsid w:val="0051779A"/>
    <w:rPr>
      <w:sz w:val="20"/>
      <w:szCs w:val="20"/>
    </w:rPr>
  </w:style>
  <w:style w:type="character" w:styleId="a9">
    <w:name w:val="footnote reference"/>
    <w:basedOn w:val="a0"/>
    <w:uiPriority w:val="99"/>
    <w:semiHidden/>
    <w:unhideWhenUsed/>
    <w:rsid w:val="0051779A"/>
    <w:rPr>
      <w:vertAlign w:val="superscript"/>
    </w:rPr>
  </w:style>
  <w:style w:type="paragraph" w:styleId="aa">
    <w:name w:val="endnote text"/>
    <w:basedOn w:val="a"/>
    <w:link w:val="Char2"/>
    <w:uiPriority w:val="99"/>
    <w:semiHidden/>
    <w:unhideWhenUsed/>
    <w:rsid w:val="00F97F00"/>
    <w:pPr>
      <w:spacing w:after="0" w:line="240" w:lineRule="auto"/>
    </w:pPr>
    <w:rPr>
      <w:sz w:val="20"/>
      <w:szCs w:val="20"/>
    </w:rPr>
  </w:style>
  <w:style w:type="character" w:customStyle="1" w:styleId="Char2">
    <w:name w:val="نص تعليق ختامي Char"/>
    <w:basedOn w:val="a0"/>
    <w:link w:val="aa"/>
    <w:uiPriority w:val="99"/>
    <w:semiHidden/>
    <w:rsid w:val="00F97F00"/>
    <w:rPr>
      <w:sz w:val="20"/>
      <w:szCs w:val="20"/>
    </w:rPr>
  </w:style>
  <w:style w:type="character" w:styleId="ab">
    <w:name w:val="endnote reference"/>
    <w:basedOn w:val="a0"/>
    <w:uiPriority w:val="99"/>
    <w:semiHidden/>
    <w:unhideWhenUsed/>
    <w:rsid w:val="00F97F00"/>
    <w:rPr>
      <w:vertAlign w:val="superscript"/>
    </w:rPr>
  </w:style>
  <w:style w:type="character" w:customStyle="1" w:styleId="1Char">
    <w:name w:val="عنوان 1 Char"/>
    <w:basedOn w:val="a0"/>
    <w:link w:val="1"/>
    <w:uiPriority w:val="9"/>
    <w:rsid w:val="001B28C7"/>
    <w:rPr>
      <w:rFonts w:asciiTheme="majorHAnsi" w:eastAsiaTheme="majorEastAsia" w:hAnsiTheme="majorHAnsi" w:cstheme="majorBidi"/>
      <w:b/>
      <w:bCs/>
      <w:color w:val="365F91" w:themeColor="accent1" w:themeShade="BF"/>
      <w:sz w:val="28"/>
      <w:szCs w:val="28"/>
    </w:rPr>
  </w:style>
  <w:style w:type="paragraph" w:styleId="ac">
    <w:name w:val="Balloon Text"/>
    <w:basedOn w:val="a"/>
    <w:link w:val="Char3"/>
    <w:uiPriority w:val="99"/>
    <w:semiHidden/>
    <w:unhideWhenUsed/>
    <w:rsid w:val="001B28C7"/>
    <w:pPr>
      <w:bidi w:val="0"/>
      <w:spacing w:after="0" w:line="240" w:lineRule="auto"/>
    </w:pPr>
    <w:rPr>
      <w:rFonts w:ascii="Tahoma" w:hAnsi="Tahoma" w:cs="Tahoma"/>
      <w:sz w:val="16"/>
      <w:szCs w:val="16"/>
    </w:rPr>
  </w:style>
  <w:style w:type="character" w:customStyle="1" w:styleId="Char3">
    <w:name w:val="نص في بالون Char"/>
    <w:basedOn w:val="a0"/>
    <w:link w:val="ac"/>
    <w:uiPriority w:val="99"/>
    <w:semiHidden/>
    <w:rsid w:val="001B28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6691238398128396E-2"/>
          <c:y val="6.9001352438953556E-2"/>
          <c:w val="0.81501767766041811"/>
          <c:h val="0.81313482024451644"/>
        </c:manualLayout>
      </c:layout>
      <c:scatterChart>
        <c:scatterStyle val="smoothMarker"/>
        <c:varyColors val="0"/>
        <c:ser>
          <c:idx val="0"/>
          <c:order val="0"/>
          <c:tx>
            <c:strRef>
              <c:f>ورقة1!$B$1</c:f>
              <c:strCache>
                <c:ptCount val="1"/>
                <c:pt idx="0">
                  <c:v>التجارة مع إسرائيل / حجم التجارة الكلي %</c:v>
                </c:pt>
              </c:strCache>
            </c:strRef>
          </c:tx>
          <c:marker>
            <c:symbol val="none"/>
          </c:marker>
          <c:xVal>
            <c:numRef>
              <c:f>ورقة1!$A$2:$A$19</c:f>
              <c:numCache>
                <c:formatCode>General</c:formatCode>
                <c:ptCount val="18"/>
                <c:pt idx="0">
                  <c:v>1995</c:v>
                </c:pt>
                <c:pt idx="1">
                  <c:v>1996</c:v>
                </c:pt>
                <c:pt idx="2">
                  <c:v>1997</c:v>
                </c:pt>
                <c:pt idx="3">
                  <c:v>1998</c:v>
                </c:pt>
                <c:pt idx="4">
                  <c:v>1999</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numCache>
            </c:numRef>
          </c:xVal>
          <c:yVal>
            <c:numRef>
              <c:f>ورقة1!$B$2:$B$19</c:f>
              <c:numCache>
                <c:formatCode>General</c:formatCode>
                <c:ptCount val="18"/>
                <c:pt idx="0">
                  <c:v>88.9</c:v>
                </c:pt>
                <c:pt idx="1">
                  <c:v>87.5</c:v>
                </c:pt>
                <c:pt idx="2">
                  <c:v>82.5</c:v>
                </c:pt>
                <c:pt idx="3">
                  <c:v>79.900000000000006</c:v>
                </c:pt>
                <c:pt idx="4">
                  <c:v>65.5</c:v>
                </c:pt>
                <c:pt idx="5">
                  <c:v>75.900000000000006</c:v>
                </c:pt>
                <c:pt idx="6">
                  <c:v>75.3</c:v>
                </c:pt>
                <c:pt idx="7">
                  <c:v>75.5</c:v>
                </c:pt>
                <c:pt idx="8">
                  <c:v>72</c:v>
                </c:pt>
                <c:pt idx="9">
                  <c:v>74.5</c:v>
                </c:pt>
                <c:pt idx="10">
                  <c:v>76.3</c:v>
                </c:pt>
                <c:pt idx="11">
                  <c:v>81.8</c:v>
                </c:pt>
                <c:pt idx="12">
                  <c:v>75.400000000000006</c:v>
                </c:pt>
                <c:pt idx="13">
                  <c:v>74.099999999999994</c:v>
                </c:pt>
                <c:pt idx="14">
                  <c:v>72.3</c:v>
                </c:pt>
                <c:pt idx="15">
                  <c:v>72.8</c:v>
                </c:pt>
                <c:pt idx="16">
                  <c:v>73.900000000000006</c:v>
                </c:pt>
                <c:pt idx="17">
                  <c:v>71.599999999999994</c:v>
                </c:pt>
              </c:numCache>
            </c:numRef>
          </c:yVal>
          <c:smooth val="1"/>
        </c:ser>
        <c:dLbls>
          <c:showLegendKey val="0"/>
          <c:showVal val="0"/>
          <c:showCatName val="0"/>
          <c:showSerName val="0"/>
          <c:showPercent val="0"/>
          <c:showBubbleSize val="0"/>
        </c:dLbls>
        <c:axId val="105797888"/>
        <c:axId val="105807872"/>
      </c:scatterChart>
      <c:valAx>
        <c:axId val="105797888"/>
        <c:scaling>
          <c:orientation val="maxMin"/>
        </c:scaling>
        <c:delete val="0"/>
        <c:axPos val="b"/>
        <c:numFmt formatCode="General" sourceLinked="1"/>
        <c:majorTickMark val="out"/>
        <c:minorTickMark val="none"/>
        <c:tickLblPos val="nextTo"/>
        <c:txPr>
          <a:bodyPr/>
          <a:lstStyle/>
          <a:p>
            <a:pPr>
              <a:defRPr lang="en-US"/>
            </a:pPr>
            <a:endParaRPr lang="ar-SA"/>
          </a:p>
        </c:txPr>
        <c:crossAx val="105807872"/>
        <c:crosses val="autoZero"/>
        <c:crossBetween val="midCat"/>
      </c:valAx>
      <c:valAx>
        <c:axId val="105807872"/>
        <c:scaling>
          <c:orientation val="minMax"/>
        </c:scaling>
        <c:delete val="0"/>
        <c:axPos val="r"/>
        <c:majorGridlines/>
        <c:numFmt formatCode="General" sourceLinked="1"/>
        <c:majorTickMark val="out"/>
        <c:minorTickMark val="none"/>
        <c:tickLblPos val="nextTo"/>
        <c:txPr>
          <a:bodyPr/>
          <a:lstStyle/>
          <a:p>
            <a:pPr>
              <a:defRPr lang="en-US"/>
            </a:pPr>
            <a:endParaRPr lang="ar-SA"/>
          </a:p>
        </c:txPr>
        <c:crossAx val="105797888"/>
        <c:crosses val="autoZero"/>
        <c:crossBetween val="midCat"/>
      </c:valAx>
    </c:plotArea>
    <c:plotVisOnly val="1"/>
    <c:dispBlanksAs val="gap"/>
    <c:showDLblsOverMax val="0"/>
  </c:chart>
  <c:spPr>
    <a:noFill/>
  </c:spPr>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ABE4B-BBE4-4D2C-AB77-1D6EA759D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23</Pages>
  <Words>4974</Words>
  <Characters>28355</Characters>
  <Application>Microsoft Office Word</Application>
  <DocSecurity>0</DocSecurity>
  <Lines>236</Lines>
  <Paragraphs>66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HAMOUDA1</dc:creator>
  <cp:lastModifiedBy>MOHAMMED HAMOUDA1</cp:lastModifiedBy>
  <cp:revision>15</cp:revision>
  <dcterms:created xsi:type="dcterms:W3CDTF">2016-05-29T07:16:00Z</dcterms:created>
  <dcterms:modified xsi:type="dcterms:W3CDTF">2016-08-11T06:58:00Z</dcterms:modified>
</cp:coreProperties>
</file>